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CDD11" w14:textId="2F5D344D" w:rsidR="00C869F3" w:rsidRDefault="00F23893" w:rsidP="00C869F3">
      <w:pPr>
        <w:spacing w:after="480"/>
      </w:pPr>
      <w:r w:rsidRPr="00841053">
        <w:rPr>
          <w:rFonts w:eastAsia="Calibri"/>
          <w:noProof/>
        </w:rPr>
        <w:drawing>
          <wp:inline distT="0" distB="0" distL="0" distR="0" wp14:anchorId="25AC475D" wp14:editId="5D3A8902">
            <wp:extent cx="2443163" cy="705397"/>
            <wp:effectExtent l="0" t="0" r="0" b="0"/>
            <wp:docPr id="4" name="Picture 4" descr="London Borough of Harr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ndon Borough of Harrow logo"/>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81194" cy="716378"/>
                    </a:xfrm>
                    <a:prstGeom prst="rect">
                      <a:avLst/>
                    </a:prstGeom>
                  </pic:spPr>
                </pic:pic>
              </a:graphicData>
            </a:graphic>
          </wp:inline>
        </w:drawing>
      </w:r>
    </w:p>
    <w:tbl>
      <w:tblPr>
        <w:tblStyle w:val="Style1"/>
        <w:tblW w:w="8789" w:type="dxa"/>
        <w:tblLook w:val="0000" w:firstRow="0" w:lastRow="0" w:firstColumn="0" w:lastColumn="0" w:noHBand="0" w:noVBand="0"/>
        <w:tblCaption w:val="Cabinet report summary details"/>
      </w:tblPr>
      <w:tblGrid>
        <w:gridCol w:w="3261"/>
        <w:gridCol w:w="5528"/>
      </w:tblGrid>
      <w:tr w:rsidR="00333FAA" w14:paraId="322EF0DF" w14:textId="77777777" w:rsidTr="001E55C6">
        <w:trPr>
          <w:tblHeader/>
        </w:trPr>
        <w:tc>
          <w:tcPr>
            <w:tcW w:w="3261" w:type="dxa"/>
            <w:tcBorders>
              <w:bottom w:val="single" w:sz="18" w:space="0" w:color="auto"/>
            </w:tcBorders>
          </w:tcPr>
          <w:p w14:paraId="10F9A427" w14:textId="77777777" w:rsidR="00333FAA" w:rsidRPr="00B805DB" w:rsidRDefault="005811F8" w:rsidP="00F06E4E">
            <w:pPr>
              <w:pStyle w:val="Heading1"/>
              <w:spacing w:after="240"/>
            </w:pPr>
            <w:r>
              <w:t>Report f</w:t>
            </w:r>
            <w:r w:rsidRPr="00C869F3">
              <w:t>or</w:t>
            </w:r>
            <w:r w:rsidR="00333FAA" w:rsidRPr="00C869F3">
              <w:t>:</w:t>
            </w:r>
          </w:p>
        </w:tc>
        <w:tc>
          <w:tcPr>
            <w:tcW w:w="5528" w:type="dxa"/>
            <w:tcBorders>
              <w:bottom w:val="single" w:sz="18" w:space="0" w:color="auto"/>
            </w:tcBorders>
          </w:tcPr>
          <w:p w14:paraId="541B30E0" w14:textId="77777777" w:rsidR="00333FAA" w:rsidRPr="005E3A10" w:rsidRDefault="005811F8" w:rsidP="00F06E4E">
            <w:pPr>
              <w:pStyle w:val="Heading1"/>
              <w:rPr>
                <w:szCs w:val="24"/>
              </w:rPr>
            </w:pPr>
            <w:r w:rsidRPr="005E3A10">
              <w:t>Cabinet</w:t>
            </w:r>
          </w:p>
        </w:tc>
      </w:tr>
      <w:tr w:rsidR="00333FAA" w14:paraId="67D60646" w14:textId="77777777" w:rsidTr="001E55C6">
        <w:tc>
          <w:tcPr>
            <w:tcW w:w="3261" w:type="dxa"/>
            <w:tcBorders>
              <w:top w:val="single" w:sz="18" w:space="0" w:color="auto"/>
            </w:tcBorders>
          </w:tcPr>
          <w:p w14:paraId="4DDB5947" w14:textId="77777777" w:rsidR="00333FAA" w:rsidRPr="00C13A5F" w:rsidRDefault="00333FAA" w:rsidP="00C869F3">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5528" w:type="dxa"/>
            <w:tcBorders>
              <w:top w:val="single" w:sz="18" w:space="0" w:color="auto"/>
            </w:tcBorders>
          </w:tcPr>
          <w:p w14:paraId="72FCD075" w14:textId="7F0A4F2D" w:rsidR="00333FAA" w:rsidRPr="005E3A10" w:rsidRDefault="00157A61" w:rsidP="00A53B04">
            <w:pPr>
              <w:rPr>
                <w:rFonts w:cs="Arial"/>
                <w:szCs w:val="24"/>
              </w:rPr>
            </w:pPr>
            <w:r w:rsidRPr="00157A61">
              <w:rPr>
                <w:rFonts w:cs="Arial"/>
                <w:szCs w:val="24"/>
              </w:rPr>
              <w:t xml:space="preserve">15 February </w:t>
            </w:r>
            <w:r w:rsidR="00E578D3" w:rsidRPr="00157A61">
              <w:rPr>
                <w:rFonts w:cs="Arial"/>
                <w:szCs w:val="24"/>
              </w:rPr>
              <w:t>202</w:t>
            </w:r>
            <w:r w:rsidR="001210A1" w:rsidRPr="00157A61">
              <w:rPr>
                <w:rFonts w:cs="Arial"/>
                <w:szCs w:val="24"/>
              </w:rPr>
              <w:t>4</w:t>
            </w:r>
          </w:p>
        </w:tc>
      </w:tr>
      <w:tr w:rsidR="00333FAA" w14:paraId="3CC97725" w14:textId="77777777" w:rsidTr="001E55C6">
        <w:tc>
          <w:tcPr>
            <w:tcW w:w="3261" w:type="dxa"/>
          </w:tcPr>
          <w:p w14:paraId="18BB8951" w14:textId="77777777" w:rsidR="00333FAA" w:rsidRPr="00C13A5F" w:rsidRDefault="00333FAA" w:rsidP="00C869F3">
            <w:pPr>
              <w:pStyle w:val="Infotext"/>
              <w:spacing w:after="240"/>
              <w:rPr>
                <w:rFonts w:ascii="Arial Black" w:hAnsi="Arial Black"/>
              </w:rPr>
            </w:pPr>
            <w:r w:rsidRPr="00C13A5F">
              <w:rPr>
                <w:rFonts w:ascii="Arial Black" w:hAnsi="Arial Black" w:cs="Arial"/>
              </w:rPr>
              <w:t>Subject:</w:t>
            </w:r>
          </w:p>
        </w:tc>
        <w:tc>
          <w:tcPr>
            <w:tcW w:w="5528" w:type="dxa"/>
          </w:tcPr>
          <w:p w14:paraId="6353FC36" w14:textId="4E243E51" w:rsidR="00694BFA" w:rsidRDefault="00280EB4" w:rsidP="00280EB4">
            <w:pPr>
              <w:rPr>
                <w:rFonts w:cs="Arial"/>
                <w:szCs w:val="24"/>
              </w:rPr>
            </w:pPr>
            <w:r w:rsidRPr="001F02FA">
              <w:rPr>
                <w:rFonts w:cs="Arial"/>
                <w:szCs w:val="24"/>
              </w:rPr>
              <w:t xml:space="preserve">Annual Treasury Management Strategy Statement including Prudential Indicators, Minimum Revenue Provision Policy </w:t>
            </w:r>
            <w:r w:rsidR="00475E6E" w:rsidRPr="001F02FA">
              <w:rPr>
                <w:rFonts w:cs="Arial"/>
                <w:szCs w:val="24"/>
              </w:rPr>
              <w:t>Statement, Annual</w:t>
            </w:r>
            <w:r w:rsidRPr="001F02FA">
              <w:rPr>
                <w:rFonts w:cs="Arial"/>
                <w:szCs w:val="24"/>
              </w:rPr>
              <w:t xml:space="preserve"> Investment Strategy and </w:t>
            </w:r>
            <w:r w:rsidRPr="002D7939">
              <w:rPr>
                <w:rFonts w:cs="Arial"/>
                <w:szCs w:val="24"/>
              </w:rPr>
              <w:t>Annual Capital Strategy</w:t>
            </w:r>
            <w:r>
              <w:rPr>
                <w:rFonts w:cs="Arial"/>
                <w:szCs w:val="24"/>
              </w:rPr>
              <w:t xml:space="preserve"> </w:t>
            </w:r>
            <w:r w:rsidRPr="001F02FA">
              <w:rPr>
                <w:rFonts w:cs="Arial"/>
                <w:szCs w:val="24"/>
              </w:rPr>
              <w:t>for 202</w:t>
            </w:r>
            <w:r w:rsidR="001210A1">
              <w:rPr>
                <w:rFonts w:cs="Arial"/>
                <w:szCs w:val="24"/>
              </w:rPr>
              <w:t>4</w:t>
            </w:r>
            <w:r w:rsidRPr="001F02FA">
              <w:rPr>
                <w:rFonts w:cs="Arial"/>
                <w:szCs w:val="24"/>
              </w:rPr>
              <w:t>/2</w:t>
            </w:r>
            <w:r w:rsidR="001210A1">
              <w:rPr>
                <w:rFonts w:cs="Arial"/>
                <w:szCs w:val="24"/>
              </w:rPr>
              <w:t>5</w:t>
            </w:r>
            <w:r>
              <w:rPr>
                <w:rFonts w:cs="Arial"/>
                <w:szCs w:val="24"/>
              </w:rPr>
              <w:t xml:space="preserve"> </w:t>
            </w:r>
          </w:p>
          <w:p w14:paraId="562E2340" w14:textId="1611E37A" w:rsidR="00280EB4" w:rsidRPr="00280EB4" w:rsidRDefault="00280EB4" w:rsidP="00280EB4">
            <w:pPr>
              <w:rPr>
                <w:rFonts w:cs="Arial"/>
                <w:color w:val="FF0000"/>
                <w:szCs w:val="24"/>
              </w:rPr>
            </w:pPr>
          </w:p>
          <w:p w14:paraId="6D8FB2C1" w14:textId="77777777" w:rsidR="00333FAA" w:rsidRPr="005E3A10" w:rsidRDefault="00333FAA" w:rsidP="00A53B04">
            <w:pPr>
              <w:rPr>
                <w:rFonts w:cs="Arial"/>
                <w:szCs w:val="24"/>
              </w:rPr>
            </w:pPr>
          </w:p>
        </w:tc>
      </w:tr>
      <w:tr w:rsidR="00333FAA" w14:paraId="32449166" w14:textId="77777777" w:rsidTr="001E55C6">
        <w:tc>
          <w:tcPr>
            <w:tcW w:w="3261" w:type="dxa"/>
          </w:tcPr>
          <w:p w14:paraId="17ECA8FA" w14:textId="77777777" w:rsidR="00333FAA" w:rsidRPr="00C13A5F" w:rsidRDefault="00333FAA" w:rsidP="00C869F3">
            <w:pPr>
              <w:pStyle w:val="Infotext"/>
              <w:spacing w:after="240"/>
              <w:rPr>
                <w:rFonts w:ascii="Arial Black" w:hAnsi="Arial Black" w:cs="Arial"/>
              </w:rPr>
            </w:pPr>
            <w:r w:rsidRPr="00C13A5F">
              <w:rPr>
                <w:rFonts w:ascii="Arial Black" w:hAnsi="Arial Black" w:cs="Arial"/>
              </w:rPr>
              <w:t>Key Decision:</w:t>
            </w:r>
          </w:p>
        </w:tc>
        <w:tc>
          <w:tcPr>
            <w:tcW w:w="5528" w:type="dxa"/>
          </w:tcPr>
          <w:p w14:paraId="6D1B2CD3" w14:textId="544134D8" w:rsidR="001C7E35" w:rsidRPr="005E3A10" w:rsidRDefault="00280EB4" w:rsidP="001C7E35">
            <w:pPr>
              <w:pStyle w:val="Infotext"/>
              <w:rPr>
                <w:rFonts w:cs="Arial"/>
                <w:sz w:val="24"/>
                <w:szCs w:val="24"/>
              </w:rPr>
            </w:pPr>
            <w:r>
              <w:rPr>
                <w:rFonts w:cs="Arial"/>
                <w:sz w:val="24"/>
                <w:szCs w:val="24"/>
              </w:rPr>
              <w:t xml:space="preserve">Yes </w:t>
            </w:r>
          </w:p>
          <w:p w14:paraId="3EADF2B3" w14:textId="77777777" w:rsidR="00333FAA" w:rsidRPr="005E3A10" w:rsidRDefault="00333FAA" w:rsidP="00FD4E2A">
            <w:pPr>
              <w:pStyle w:val="Infotext"/>
              <w:rPr>
                <w:rFonts w:cs="Arial"/>
                <w:szCs w:val="24"/>
              </w:rPr>
            </w:pPr>
          </w:p>
        </w:tc>
      </w:tr>
      <w:tr w:rsidR="001C7E35" w14:paraId="79E96200" w14:textId="77777777" w:rsidTr="001E55C6">
        <w:tc>
          <w:tcPr>
            <w:tcW w:w="3261" w:type="dxa"/>
          </w:tcPr>
          <w:p w14:paraId="0B8ABDC4"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Responsible Officer:</w:t>
            </w:r>
          </w:p>
        </w:tc>
        <w:tc>
          <w:tcPr>
            <w:tcW w:w="5528" w:type="dxa"/>
          </w:tcPr>
          <w:p w14:paraId="40370E90" w14:textId="6DD06F42" w:rsidR="00FD4E2A" w:rsidRPr="002C00BA" w:rsidRDefault="001210A1" w:rsidP="00FD4E2A">
            <w:pPr>
              <w:pStyle w:val="Infotext"/>
              <w:rPr>
                <w:rFonts w:cs="Arial"/>
                <w:sz w:val="24"/>
                <w:szCs w:val="24"/>
              </w:rPr>
            </w:pPr>
            <w:r w:rsidRPr="002C00BA">
              <w:rPr>
                <w:rFonts w:cs="Arial"/>
                <w:sz w:val="24"/>
                <w:szCs w:val="24"/>
              </w:rPr>
              <w:t>Sharon Daniels</w:t>
            </w:r>
            <w:r w:rsidR="00FD4E2A" w:rsidRPr="002C00BA">
              <w:rPr>
                <w:rFonts w:cs="Arial"/>
                <w:sz w:val="24"/>
                <w:szCs w:val="24"/>
              </w:rPr>
              <w:t>,</w:t>
            </w:r>
            <w:r w:rsidRPr="002C00BA">
              <w:rPr>
                <w:rFonts w:cs="Arial"/>
                <w:sz w:val="24"/>
                <w:szCs w:val="24"/>
              </w:rPr>
              <w:t xml:space="preserve"> Interim</w:t>
            </w:r>
            <w:r w:rsidR="00FD4E2A" w:rsidRPr="002C00BA">
              <w:rPr>
                <w:rFonts w:cs="Arial"/>
                <w:sz w:val="24"/>
                <w:szCs w:val="24"/>
              </w:rPr>
              <w:t xml:space="preserve"> Director of Finance and Assurance</w:t>
            </w:r>
            <w:r w:rsidR="00103408" w:rsidRPr="002C00BA">
              <w:rPr>
                <w:rFonts w:cs="Arial"/>
                <w:sz w:val="24"/>
                <w:szCs w:val="24"/>
              </w:rPr>
              <w:t xml:space="preserve"> </w:t>
            </w:r>
          </w:p>
          <w:p w14:paraId="3798BF23" w14:textId="77777777" w:rsidR="001C7E35" w:rsidRPr="005E3A10" w:rsidRDefault="001C7E35" w:rsidP="00D835CF">
            <w:pPr>
              <w:pStyle w:val="Infotext"/>
              <w:rPr>
                <w:rFonts w:cs="Arial"/>
                <w:sz w:val="24"/>
                <w:szCs w:val="24"/>
              </w:rPr>
            </w:pPr>
          </w:p>
        </w:tc>
      </w:tr>
      <w:tr w:rsidR="001C7E35" w14:paraId="3B6FD8B1" w14:textId="77777777" w:rsidTr="001E55C6">
        <w:tc>
          <w:tcPr>
            <w:tcW w:w="3261" w:type="dxa"/>
          </w:tcPr>
          <w:p w14:paraId="0961945D" w14:textId="77777777" w:rsidR="001C7E35" w:rsidRPr="00C13A5F" w:rsidRDefault="001C7E35" w:rsidP="00C869F3">
            <w:pPr>
              <w:pStyle w:val="Infotext"/>
              <w:spacing w:after="240"/>
              <w:rPr>
                <w:rFonts w:ascii="Arial Black" w:hAnsi="Arial Black"/>
              </w:rPr>
            </w:pPr>
            <w:r w:rsidRPr="00DB6C3D">
              <w:rPr>
                <w:rFonts w:ascii="Arial Black" w:hAnsi="Arial Black"/>
              </w:rPr>
              <w:t>Portfolio Holder:</w:t>
            </w:r>
          </w:p>
        </w:tc>
        <w:tc>
          <w:tcPr>
            <w:tcW w:w="5528" w:type="dxa"/>
          </w:tcPr>
          <w:p w14:paraId="7887DBA0" w14:textId="3D4DE83E" w:rsidR="00E578D3" w:rsidRDefault="00FD4E2A" w:rsidP="00D835CF">
            <w:pPr>
              <w:pStyle w:val="Infotext"/>
              <w:rPr>
                <w:rFonts w:cs="Arial"/>
                <w:sz w:val="24"/>
                <w:szCs w:val="24"/>
              </w:rPr>
            </w:pPr>
            <w:r w:rsidRPr="00FD4E2A">
              <w:rPr>
                <w:rFonts w:cs="Arial"/>
                <w:sz w:val="24"/>
                <w:szCs w:val="24"/>
              </w:rPr>
              <w:t xml:space="preserve">Councillor </w:t>
            </w:r>
            <w:r w:rsidR="00E578D3" w:rsidRPr="002C00BA">
              <w:rPr>
                <w:rFonts w:cs="Arial"/>
                <w:sz w:val="24"/>
                <w:szCs w:val="24"/>
              </w:rPr>
              <w:t>David Ashton</w:t>
            </w:r>
            <w:r w:rsidRPr="002C00BA">
              <w:rPr>
                <w:rFonts w:cs="Arial"/>
                <w:sz w:val="24"/>
                <w:szCs w:val="24"/>
              </w:rPr>
              <w:t xml:space="preserve"> </w:t>
            </w:r>
          </w:p>
          <w:p w14:paraId="7E8D9A88" w14:textId="4347B704" w:rsidR="001C7E35" w:rsidRDefault="00FD4E2A" w:rsidP="00D835CF">
            <w:pPr>
              <w:pStyle w:val="Infotext"/>
              <w:rPr>
                <w:rFonts w:cs="Arial"/>
                <w:sz w:val="24"/>
                <w:szCs w:val="24"/>
              </w:rPr>
            </w:pPr>
            <w:r w:rsidRPr="00FD4E2A">
              <w:rPr>
                <w:rFonts w:cs="Arial"/>
                <w:sz w:val="24"/>
                <w:szCs w:val="24"/>
              </w:rPr>
              <w:t xml:space="preserve">Portfolio Holder for Finance and </w:t>
            </w:r>
            <w:r w:rsidR="00E578D3">
              <w:rPr>
                <w:rFonts w:cs="Arial"/>
                <w:sz w:val="24"/>
                <w:szCs w:val="24"/>
              </w:rPr>
              <w:t xml:space="preserve">Human </w:t>
            </w:r>
            <w:r w:rsidRPr="00FD4E2A">
              <w:rPr>
                <w:rFonts w:cs="Arial"/>
                <w:sz w:val="24"/>
                <w:szCs w:val="24"/>
              </w:rPr>
              <w:t>Resources</w:t>
            </w:r>
          </w:p>
          <w:p w14:paraId="39A9A01A" w14:textId="6092E5FA" w:rsidR="00FD4E2A" w:rsidRPr="005E3A10" w:rsidRDefault="00FD4E2A" w:rsidP="00D835CF">
            <w:pPr>
              <w:pStyle w:val="Infotext"/>
              <w:rPr>
                <w:rFonts w:cs="Arial"/>
                <w:color w:val="FF0000"/>
                <w:sz w:val="24"/>
                <w:szCs w:val="24"/>
              </w:rPr>
            </w:pPr>
          </w:p>
        </w:tc>
      </w:tr>
      <w:tr w:rsidR="001C7E35" w14:paraId="3CF618C8" w14:textId="77777777" w:rsidTr="001E55C6">
        <w:tc>
          <w:tcPr>
            <w:tcW w:w="3261" w:type="dxa"/>
          </w:tcPr>
          <w:p w14:paraId="4CD8D092" w14:textId="77777777" w:rsidR="001C7E35" w:rsidRPr="00C13A5F" w:rsidRDefault="001C7E35" w:rsidP="00C869F3">
            <w:pPr>
              <w:pStyle w:val="Infotext"/>
              <w:spacing w:after="240"/>
              <w:rPr>
                <w:rFonts w:ascii="Arial Black" w:hAnsi="Arial Black"/>
              </w:rPr>
            </w:pPr>
            <w:r w:rsidRPr="00DB6C3D">
              <w:rPr>
                <w:rFonts w:ascii="Arial Black" w:hAnsi="Arial Black"/>
              </w:rPr>
              <w:t>Exempt:</w:t>
            </w:r>
          </w:p>
        </w:tc>
        <w:tc>
          <w:tcPr>
            <w:tcW w:w="5528" w:type="dxa"/>
          </w:tcPr>
          <w:p w14:paraId="34C65BD0" w14:textId="196E5722" w:rsidR="001C7E35" w:rsidRPr="005E3A10" w:rsidRDefault="001C7E35" w:rsidP="00D835CF">
            <w:pPr>
              <w:pStyle w:val="Infotext"/>
              <w:rPr>
                <w:rFonts w:cs="Arial"/>
                <w:sz w:val="24"/>
                <w:szCs w:val="24"/>
              </w:rPr>
            </w:pPr>
            <w:r w:rsidRPr="005E3A10">
              <w:rPr>
                <w:rFonts w:cs="Arial"/>
                <w:sz w:val="24"/>
                <w:szCs w:val="24"/>
              </w:rPr>
              <w:t>No</w:t>
            </w:r>
          </w:p>
          <w:p w14:paraId="755E47D1" w14:textId="77777777" w:rsidR="001C7E35" w:rsidRPr="005E3A10" w:rsidRDefault="001C7E35" w:rsidP="00FD4E2A">
            <w:pPr>
              <w:pStyle w:val="Infotext"/>
              <w:rPr>
                <w:rFonts w:cs="Arial"/>
                <w:color w:val="FF0000"/>
                <w:sz w:val="24"/>
                <w:szCs w:val="24"/>
              </w:rPr>
            </w:pPr>
          </w:p>
        </w:tc>
      </w:tr>
      <w:tr w:rsidR="001C7E35" w14:paraId="577CD75A" w14:textId="77777777" w:rsidTr="001E55C6">
        <w:tc>
          <w:tcPr>
            <w:tcW w:w="3261" w:type="dxa"/>
          </w:tcPr>
          <w:p w14:paraId="4821943C" w14:textId="77777777" w:rsidR="001C7E35" w:rsidRPr="00C13A5F" w:rsidRDefault="001C7E35" w:rsidP="00C869F3">
            <w:pPr>
              <w:pStyle w:val="Infotext"/>
              <w:spacing w:after="240"/>
              <w:rPr>
                <w:rFonts w:ascii="Arial Black" w:hAnsi="Arial Black"/>
              </w:rPr>
            </w:pPr>
            <w:r w:rsidRPr="00DB6C3D">
              <w:rPr>
                <w:rFonts w:ascii="Arial Black" w:hAnsi="Arial Black"/>
              </w:rPr>
              <w:t>Decision subject to Call-in:</w:t>
            </w:r>
          </w:p>
        </w:tc>
        <w:tc>
          <w:tcPr>
            <w:tcW w:w="5528" w:type="dxa"/>
          </w:tcPr>
          <w:p w14:paraId="4B40AAFF" w14:textId="3911736A" w:rsidR="001C7E35" w:rsidRPr="005E3A10" w:rsidRDefault="001C7E35" w:rsidP="00D835CF">
            <w:pPr>
              <w:pStyle w:val="Infotext"/>
              <w:rPr>
                <w:rFonts w:cs="Arial"/>
                <w:sz w:val="24"/>
                <w:szCs w:val="24"/>
              </w:rPr>
            </w:pPr>
            <w:r w:rsidRPr="005E3A10">
              <w:rPr>
                <w:rFonts w:cs="Arial"/>
                <w:sz w:val="24"/>
                <w:szCs w:val="24"/>
              </w:rPr>
              <w:t>No</w:t>
            </w:r>
          </w:p>
          <w:p w14:paraId="3A75E271" w14:textId="77777777" w:rsidR="00714BEE" w:rsidRPr="005E3A10" w:rsidRDefault="00714BEE" w:rsidP="00FD4E2A">
            <w:pPr>
              <w:rPr>
                <w:rFonts w:cs="Arial"/>
                <w:szCs w:val="24"/>
              </w:rPr>
            </w:pPr>
          </w:p>
        </w:tc>
      </w:tr>
      <w:tr w:rsidR="001C7E35" w14:paraId="7E5497E1" w14:textId="77777777" w:rsidTr="001E55C6">
        <w:tc>
          <w:tcPr>
            <w:tcW w:w="3261" w:type="dxa"/>
          </w:tcPr>
          <w:p w14:paraId="6B5E6A6A" w14:textId="77777777" w:rsidR="001C7E35" w:rsidRPr="00C13A5F" w:rsidRDefault="001C7E35" w:rsidP="00C869F3">
            <w:pPr>
              <w:pStyle w:val="Infotext"/>
              <w:spacing w:after="240"/>
              <w:rPr>
                <w:rFonts w:ascii="Arial Black" w:hAnsi="Arial Black" w:cs="Arial"/>
              </w:rPr>
            </w:pPr>
            <w:r>
              <w:rPr>
                <w:rFonts w:ascii="Arial Black" w:hAnsi="Arial Black" w:cs="Arial"/>
              </w:rPr>
              <w:t>Wards affected:</w:t>
            </w:r>
          </w:p>
        </w:tc>
        <w:tc>
          <w:tcPr>
            <w:tcW w:w="5528" w:type="dxa"/>
          </w:tcPr>
          <w:p w14:paraId="31D060B2" w14:textId="77777777" w:rsidR="00FD4E2A" w:rsidRDefault="00FD4E2A" w:rsidP="00FD4E2A">
            <w:pPr>
              <w:jc w:val="both"/>
              <w:rPr>
                <w:rFonts w:cs="Arial"/>
                <w:b/>
                <w:color w:val="FF0000"/>
                <w:szCs w:val="24"/>
              </w:rPr>
            </w:pPr>
            <w:r>
              <w:rPr>
                <w:rFonts w:cs="Arial"/>
                <w:szCs w:val="24"/>
              </w:rPr>
              <w:t>All wards</w:t>
            </w:r>
          </w:p>
          <w:p w14:paraId="52E38AE7" w14:textId="0E035B40" w:rsidR="00307F76" w:rsidRPr="00307F76" w:rsidRDefault="00307F76" w:rsidP="00D835CF">
            <w:pPr>
              <w:rPr>
                <w:rFonts w:cs="Arial"/>
                <w:b/>
                <w:color w:val="FF0000"/>
                <w:szCs w:val="24"/>
              </w:rPr>
            </w:pPr>
          </w:p>
        </w:tc>
      </w:tr>
      <w:tr w:rsidR="001C7E35" w14:paraId="5F1445BF" w14:textId="77777777" w:rsidTr="001E55C6">
        <w:tc>
          <w:tcPr>
            <w:tcW w:w="3261" w:type="dxa"/>
          </w:tcPr>
          <w:p w14:paraId="0E539C63"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Enclosures:</w:t>
            </w:r>
          </w:p>
        </w:tc>
        <w:tc>
          <w:tcPr>
            <w:tcW w:w="5528" w:type="dxa"/>
          </w:tcPr>
          <w:p w14:paraId="1DE05A30" w14:textId="77777777" w:rsidR="00280EB4" w:rsidRDefault="00280EB4" w:rsidP="00280EB4">
            <w:pPr>
              <w:rPr>
                <w:szCs w:val="24"/>
              </w:rPr>
            </w:pPr>
            <w:r w:rsidRPr="001F02FA">
              <w:rPr>
                <w:b/>
                <w:bCs/>
                <w:szCs w:val="24"/>
              </w:rPr>
              <w:t>Appendix A</w:t>
            </w:r>
            <w:r w:rsidRPr="001F02FA">
              <w:rPr>
                <w:szCs w:val="24"/>
              </w:rPr>
              <w:t xml:space="preserve"> - Legislation and Regulations Impacting on Treasury Management </w:t>
            </w:r>
          </w:p>
          <w:p w14:paraId="5678886B" w14:textId="70FFBC1B" w:rsidR="00280EB4" w:rsidRDefault="00280EB4" w:rsidP="00280EB4">
            <w:pPr>
              <w:rPr>
                <w:szCs w:val="24"/>
              </w:rPr>
            </w:pPr>
            <w:r w:rsidRPr="001F02FA">
              <w:rPr>
                <w:b/>
                <w:bCs/>
                <w:szCs w:val="24"/>
              </w:rPr>
              <w:t>Appendix B</w:t>
            </w:r>
            <w:r w:rsidRPr="001F02FA">
              <w:rPr>
                <w:szCs w:val="24"/>
              </w:rPr>
              <w:t xml:space="preserve"> - Treasury Management Delegations and Responsibilities </w:t>
            </w:r>
          </w:p>
          <w:p w14:paraId="69165F8A" w14:textId="77777777" w:rsidR="00280EB4" w:rsidRDefault="00280EB4" w:rsidP="00280EB4">
            <w:pPr>
              <w:rPr>
                <w:szCs w:val="24"/>
              </w:rPr>
            </w:pPr>
            <w:r w:rsidRPr="001F02FA">
              <w:rPr>
                <w:b/>
                <w:bCs/>
                <w:szCs w:val="24"/>
              </w:rPr>
              <w:t>Appendix C</w:t>
            </w:r>
            <w:r w:rsidRPr="001F02FA">
              <w:rPr>
                <w:szCs w:val="24"/>
              </w:rPr>
              <w:t xml:space="preserve"> - Minimum Revenue Provision (MRP) Policy Statement </w:t>
            </w:r>
          </w:p>
          <w:p w14:paraId="1A5C15D7" w14:textId="0E7F2062" w:rsidR="00280EB4" w:rsidRDefault="00280EB4" w:rsidP="00280EB4">
            <w:pPr>
              <w:rPr>
                <w:szCs w:val="24"/>
              </w:rPr>
            </w:pPr>
            <w:r w:rsidRPr="001F02FA">
              <w:rPr>
                <w:b/>
                <w:bCs/>
                <w:szCs w:val="24"/>
              </w:rPr>
              <w:t>Appendix D</w:t>
            </w:r>
            <w:r w:rsidRPr="001F02FA">
              <w:rPr>
                <w:szCs w:val="24"/>
              </w:rPr>
              <w:t xml:space="preserve"> - </w:t>
            </w:r>
            <w:r w:rsidRPr="00BE7C16">
              <w:rPr>
                <w:szCs w:val="24"/>
              </w:rPr>
              <w:t xml:space="preserve">Interest Rate Forecasts </w:t>
            </w:r>
            <w:r w:rsidRPr="001210A1">
              <w:rPr>
                <w:szCs w:val="24"/>
              </w:rPr>
              <w:t>20</w:t>
            </w:r>
            <w:r w:rsidR="007E1775" w:rsidRPr="001210A1">
              <w:rPr>
                <w:szCs w:val="24"/>
              </w:rPr>
              <w:t>2</w:t>
            </w:r>
            <w:r w:rsidR="001210A1" w:rsidRPr="001210A1">
              <w:rPr>
                <w:szCs w:val="24"/>
              </w:rPr>
              <w:t>4</w:t>
            </w:r>
            <w:r w:rsidR="007E1775" w:rsidRPr="001210A1">
              <w:rPr>
                <w:szCs w:val="24"/>
              </w:rPr>
              <w:t>-2</w:t>
            </w:r>
            <w:r w:rsidR="001210A1" w:rsidRPr="001210A1">
              <w:rPr>
                <w:szCs w:val="24"/>
              </w:rPr>
              <w:t>6</w:t>
            </w:r>
            <w:r w:rsidRPr="001F02FA">
              <w:rPr>
                <w:szCs w:val="24"/>
              </w:rPr>
              <w:t xml:space="preserve"> </w:t>
            </w:r>
          </w:p>
          <w:p w14:paraId="232ADD10" w14:textId="77777777" w:rsidR="00280EB4" w:rsidRDefault="00280EB4" w:rsidP="00280EB4">
            <w:pPr>
              <w:rPr>
                <w:szCs w:val="24"/>
              </w:rPr>
            </w:pPr>
            <w:r w:rsidRPr="001F02FA">
              <w:rPr>
                <w:b/>
                <w:bCs/>
                <w:szCs w:val="24"/>
              </w:rPr>
              <w:t>Appendix E</w:t>
            </w:r>
            <w:r w:rsidRPr="001F02FA">
              <w:rPr>
                <w:szCs w:val="24"/>
              </w:rPr>
              <w:t xml:space="preserve"> - Economic Background </w:t>
            </w:r>
          </w:p>
          <w:p w14:paraId="59BE9160" w14:textId="48C36F10" w:rsidR="00280EB4" w:rsidRPr="00B0159F" w:rsidRDefault="00280EB4" w:rsidP="00280EB4">
            <w:pPr>
              <w:rPr>
                <w:szCs w:val="24"/>
              </w:rPr>
            </w:pPr>
            <w:r w:rsidRPr="004D6002">
              <w:rPr>
                <w:b/>
                <w:bCs/>
                <w:szCs w:val="24"/>
              </w:rPr>
              <w:t>Appendix F</w:t>
            </w:r>
            <w:r w:rsidRPr="004D6002">
              <w:rPr>
                <w:szCs w:val="24"/>
              </w:rPr>
              <w:t xml:space="preserve"> </w:t>
            </w:r>
            <w:r w:rsidR="004D6002">
              <w:rPr>
                <w:szCs w:val="24"/>
              </w:rPr>
              <w:t>–</w:t>
            </w:r>
            <w:r w:rsidRPr="004D6002">
              <w:rPr>
                <w:szCs w:val="24"/>
              </w:rPr>
              <w:t xml:space="preserve"> </w:t>
            </w:r>
            <w:r w:rsidRPr="00B0159F">
              <w:rPr>
                <w:szCs w:val="24"/>
              </w:rPr>
              <w:t>Counterparties</w:t>
            </w:r>
            <w:r w:rsidR="001E55C6" w:rsidRPr="00B0159F">
              <w:rPr>
                <w:szCs w:val="24"/>
              </w:rPr>
              <w:t>: Investment Criteria</w:t>
            </w:r>
            <w:r w:rsidR="004D6002" w:rsidRPr="00B0159F">
              <w:rPr>
                <w:szCs w:val="24"/>
              </w:rPr>
              <w:t xml:space="preserve"> </w:t>
            </w:r>
            <w:r w:rsidRPr="00B0159F">
              <w:rPr>
                <w:szCs w:val="24"/>
              </w:rPr>
              <w:t xml:space="preserve"> </w:t>
            </w:r>
          </w:p>
          <w:p w14:paraId="7EDBF985" w14:textId="6F3C7306" w:rsidR="00280EB4" w:rsidRDefault="00280EB4" w:rsidP="00280EB4">
            <w:pPr>
              <w:rPr>
                <w:szCs w:val="24"/>
              </w:rPr>
            </w:pPr>
            <w:r w:rsidRPr="00B0159F">
              <w:rPr>
                <w:b/>
                <w:bCs/>
                <w:szCs w:val="24"/>
              </w:rPr>
              <w:t>Appendix G</w:t>
            </w:r>
            <w:r w:rsidRPr="00B0159F">
              <w:rPr>
                <w:szCs w:val="24"/>
              </w:rPr>
              <w:t xml:space="preserve"> - Capital Strategy </w:t>
            </w:r>
            <w:r w:rsidRPr="001210A1">
              <w:rPr>
                <w:szCs w:val="24"/>
              </w:rPr>
              <w:t>20</w:t>
            </w:r>
            <w:r w:rsidR="002C617D" w:rsidRPr="001210A1">
              <w:rPr>
                <w:szCs w:val="24"/>
              </w:rPr>
              <w:t>2</w:t>
            </w:r>
            <w:r w:rsidR="001210A1" w:rsidRPr="001210A1">
              <w:rPr>
                <w:szCs w:val="24"/>
              </w:rPr>
              <w:t>4</w:t>
            </w:r>
            <w:r w:rsidRPr="001210A1">
              <w:rPr>
                <w:szCs w:val="24"/>
              </w:rPr>
              <w:t>/2</w:t>
            </w:r>
            <w:r w:rsidR="001210A1" w:rsidRPr="001210A1">
              <w:rPr>
                <w:szCs w:val="24"/>
              </w:rPr>
              <w:t>5</w:t>
            </w:r>
            <w:r w:rsidRPr="001F02FA">
              <w:rPr>
                <w:szCs w:val="24"/>
              </w:rPr>
              <w:t xml:space="preserve"> </w:t>
            </w:r>
            <w:r w:rsidRPr="001F02FA">
              <w:rPr>
                <w:b/>
                <w:bCs/>
                <w:szCs w:val="24"/>
              </w:rPr>
              <w:t xml:space="preserve">Appendix </w:t>
            </w:r>
            <w:r>
              <w:rPr>
                <w:b/>
                <w:bCs/>
                <w:szCs w:val="24"/>
              </w:rPr>
              <w:t>H</w:t>
            </w:r>
            <w:r w:rsidRPr="001F02FA">
              <w:rPr>
                <w:szCs w:val="24"/>
              </w:rPr>
              <w:t xml:space="preserve"> </w:t>
            </w:r>
            <w:r>
              <w:rPr>
                <w:szCs w:val="24"/>
              </w:rPr>
              <w:t>-</w:t>
            </w:r>
            <w:r w:rsidRPr="001F02FA">
              <w:rPr>
                <w:szCs w:val="24"/>
              </w:rPr>
              <w:t xml:space="preserve"> Glossary</w:t>
            </w:r>
          </w:p>
          <w:p w14:paraId="6668D730" w14:textId="4F2FA8EC" w:rsidR="001C7E35" w:rsidRPr="005E3A10" w:rsidRDefault="001C7E35" w:rsidP="00FD4E2A">
            <w:pPr>
              <w:rPr>
                <w:color w:val="FF0000"/>
                <w:szCs w:val="24"/>
              </w:rPr>
            </w:pPr>
          </w:p>
        </w:tc>
      </w:tr>
    </w:tbl>
    <w:p w14:paraId="27C48D26" w14:textId="77777777" w:rsidR="00333FAA" w:rsidRDefault="00333FAA" w:rsidP="00C869F3">
      <w:pPr>
        <w:spacing w:after="48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333FAA" w14:paraId="39320826" w14:textId="77777777" w:rsidTr="00221A93">
        <w:trPr>
          <w:tblHeader/>
        </w:trPr>
        <w:tc>
          <w:tcPr>
            <w:tcW w:w="8525" w:type="dxa"/>
            <w:tcBorders>
              <w:top w:val="nil"/>
              <w:left w:val="nil"/>
              <w:right w:val="nil"/>
            </w:tcBorders>
          </w:tcPr>
          <w:p w14:paraId="3A67BFB3" w14:textId="77777777" w:rsidR="00333FAA" w:rsidRDefault="00333FAA" w:rsidP="00605A4C">
            <w:pPr>
              <w:pStyle w:val="Heading2"/>
              <w:spacing w:after="240"/>
            </w:pPr>
            <w:r>
              <w:lastRenderedPageBreak/>
              <w:t>Section 1 – Summary and Recommendations</w:t>
            </w:r>
          </w:p>
        </w:tc>
      </w:tr>
      <w:tr w:rsidR="00333FAA" w14:paraId="5D78E563" w14:textId="77777777" w:rsidTr="00221A93">
        <w:trPr>
          <w:tblHeader/>
        </w:trPr>
        <w:tc>
          <w:tcPr>
            <w:tcW w:w="8525" w:type="dxa"/>
          </w:tcPr>
          <w:p w14:paraId="17063919" w14:textId="1567911B" w:rsidR="00280EB4" w:rsidRDefault="00280EB4" w:rsidP="00280EB4">
            <w:pPr>
              <w:jc w:val="both"/>
            </w:pPr>
            <w:r w:rsidRPr="00B25A95">
              <w:t xml:space="preserve">This report sets out the Council’s Annual Treasury Management Strategy Statement including Prudential Indicators, Minimum Revenue Provision Policy Statement the Annual Investment </w:t>
            </w:r>
            <w:r w:rsidR="002B28F4" w:rsidRPr="00B25A95">
              <w:t>Strategy,</w:t>
            </w:r>
            <w:r w:rsidRPr="00B25A95">
              <w:t xml:space="preserve"> and the </w:t>
            </w:r>
            <w:r w:rsidRPr="002D7939">
              <w:rPr>
                <w:rFonts w:cs="Arial"/>
                <w:szCs w:val="24"/>
              </w:rPr>
              <w:t>Annual Capital Strategy</w:t>
            </w:r>
            <w:r>
              <w:rPr>
                <w:rFonts w:cs="Arial"/>
                <w:szCs w:val="24"/>
              </w:rPr>
              <w:t xml:space="preserve"> </w:t>
            </w:r>
            <w:r w:rsidRPr="00B25A95">
              <w:t>for 202</w:t>
            </w:r>
            <w:r w:rsidR="001210A1">
              <w:t>4</w:t>
            </w:r>
            <w:r w:rsidRPr="00B25A95">
              <w:t>/2</w:t>
            </w:r>
            <w:r w:rsidR="001210A1">
              <w:t>5</w:t>
            </w:r>
            <w:r w:rsidRPr="00B25A95">
              <w:t xml:space="preserve">. </w:t>
            </w:r>
          </w:p>
          <w:p w14:paraId="02274D72" w14:textId="77777777" w:rsidR="001C7E35" w:rsidRPr="00605A4C" w:rsidRDefault="00605A4C" w:rsidP="00E13BEF">
            <w:pPr>
              <w:pStyle w:val="Heading3"/>
              <w:spacing w:before="240"/>
            </w:pPr>
            <w:r>
              <w:t>Recommen</w:t>
            </w:r>
            <w:r w:rsidR="001C7E35" w:rsidRPr="00605A4C">
              <w:t xml:space="preserve">dations: </w:t>
            </w:r>
          </w:p>
          <w:p w14:paraId="0D97AE7D" w14:textId="04E77BD0" w:rsidR="00280EB4" w:rsidRDefault="00280EB4" w:rsidP="00280EB4">
            <w:pPr>
              <w:jc w:val="both"/>
            </w:pPr>
            <w:r>
              <w:t>Cabinet is asked to recommend to Council that they approve the Treasury Management Strategy Statement for 202</w:t>
            </w:r>
            <w:r w:rsidR="001210A1">
              <w:t>4</w:t>
            </w:r>
            <w:r>
              <w:t>/2</w:t>
            </w:r>
            <w:r w:rsidR="001210A1">
              <w:t>5</w:t>
            </w:r>
            <w:r>
              <w:t xml:space="preserve"> including: </w:t>
            </w:r>
          </w:p>
          <w:p w14:paraId="10E55C00" w14:textId="3E3DD991" w:rsidR="00D57DE9" w:rsidRDefault="00D57DE9" w:rsidP="00605A4C"/>
          <w:p w14:paraId="003240D8" w14:textId="199E854C" w:rsidR="00280EB4" w:rsidRPr="00FB4D72" w:rsidRDefault="00280EB4" w:rsidP="0052536B">
            <w:pPr>
              <w:pStyle w:val="ListParagraph"/>
              <w:numPr>
                <w:ilvl w:val="0"/>
                <w:numId w:val="6"/>
              </w:numPr>
              <w:jc w:val="both"/>
            </w:pPr>
            <w:r w:rsidRPr="00FB4D72">
              <w:t>Prudential Indicators for</w:t>
            </w:r>
            <w:r w:rsidR="00694BFA" w:rsidRPr="00FB4D72">
              <w:t xml:space="preserve"> the</w:t>
            </w:r>
            <w:r w:rsidRPr="00FB4D72">
              <w:t xml:space="preserve"> period 20</w:t>
            </w:r>
            <w:r w:rsidR="001210A1">
              <w:t>24</w:t>
            </w:r>
            <w:r w:rsidRPr="00FB4D72">
              <w:t>/2</w:t>
            </w:r>
            <w:r w:rsidR="001210A1">
              <w:t>5</w:t>
            </w:r>
            <w:r w:rsidRPr="00FB4D72">
              <w:t xml:space="preserve"> to 202</w:t>
            </w:r>
            <w:r w:rsidR="001210A1">
              <w:t>6</w:t>
            </w:r>
            <w:r w:rsidRPr="00FB4D72">
              <w:t>/2</w:t>
            </w:r>
            <w:r w:rsidR="001210A1">
              <w:t>7</w:t>
            </w:r>
          </w:p>
          <w:p w14:paraId="4EA4C1F0" w14:textId="41C073A5" w:rsidR="00280EB4" w:rsidRPr="0052536B" w:rsidRDefault="00280EB4" w:rsidP="0052536B">
            <w:pPr>
              <w:pStyle w:val="ListParagraph"/>
              <w:numPr>
                <w:ilvl w:val="0"/>
                <w:numId w:val="6"/>
              </w:numPr>
              <w:jc w:val="both"/>
            </w:pPr>
            <w:r w:rsidRPr="00FB4D72">
              <w:t>Minimum Revenue Provision Policy Statement for 202</w:t>
            </w:r>
            <w:r w:rsidR="001210A1">
              <w:t>4</w:t>
            </w:r>
            <w:r w:rsidRPr="00FB4D72">
              <w:t>/2</w:t>
            </w:r>
            <w:r w:rsidR="001210A1">
              <w:t>5</w:t>
            </w:r>
            <w:r w:rsidRPr="00FB4D72">
              <w:t xml:space="preserve">, (see </w:t>
            </w:r>
            <w:r w:rsidRPr="0052536B">
              <w:t>para 2.</w:t>
            </w:r>
            <w:r w:rsidR="00E97AC8">
              <w:t>20</w:t>
            </w:r>
            <w:r w:rsidRPr="0052536B">
              <w:t xml:space="preserve"> and Appendix C)  </w:t>
            </w:r>
          </w:p>
          <w:p w14:paraId="15163966" w14:textId="33297F68" w:rsidR="001C0DA1" w:rsidRPr="00FB4D72" w:rsidRDefault="00280EB4" w:rsidP="0052536B">
            <w:pPr>
              <w:pStyle w:val="ListParagraph"/>
              <w:numPr>
                <w:ilvl w:val="0"/>
                <w:numId w:val="6"/>
              </w:numPr>
              <w:jc w:val="both"/>
            </w:pPr>
            <w:r w:rsidRPr="00FB4D72">
              <w:t>Annual Investment Strategy for 202</w:t>
            </w:r>
            <w:r w:rsidR="001210A1">
              <w:t>4</w:t>
            </w:r>
            <w:r w:rsidRPr="00FB4D72">
              <w:t>/2</w:t>
            </w:r>
            <w:r w:rsidR="001210A1">
              <w:t>5</w:t>
            </w:r>
            <w:r w:rsidRPr="00FB4D72">
              <w:t xml:space="preserve"> </w:t>
            </w:r>
            <w:r w:rsidR="00B0159F">
              <w:t>(Appendix F)</w:t>
            </w:r>
          </w:p>
          <w:p w14:paraId="3154A050" w14:textId="0F216859" w:rsidR="001C0DA1" w:rsidRPr="00FB4D72" w:rsidRDefault="001C0DA1" w:rsidP="0052536B">
            <w:pPr>
              <w:pStyle w:val="ListParagraph"/>
              <w:numPr>
                <w:ilvl w:val="0"/>
                <w:numId w:val="6"/>
              </w:numPr>
              <w:jc w:val="both"/>
            </w:pPr>
            <w:r w:rsidRPr="00FB4D72">
              <w:rPr>
                <w:rFonts w:cs="Arial"/>
                <w:szCs w:val="24"/>
              </w:rPr>
              <w:t xml:space="preserve">Annual Capital Strategy </w:t>
            </w:r>
            <w:r w:rsidRPr="00B0159F">
              <w:t>(Appendix G)</w:t>
            </w:r>
          </w:p>
          <w:p w14:paraId="02A93B4D" w14:textId="77777777" w:rsidR="001C0DA1" w:rsidRDefault="001C0DA1" w:rsidP="001C0DA1">
            <w:pPr>
              <w:jc w:val="both"/>
            </w:pPr>
          </w:p>
          <w:p w14:paraId="130A1D51" w14:textId="77777777" w:rsidR="00591016" w:rsidRDefault="00591016" w:rsidP="00605A4C"/>
          <w:p w14:paraId="50FCEBD4" w14:textId="10A4BFEB" w:rsidR="00333FAA" w:rsidRDefault="00E13BEF" w:rsidP="00D57DE9">
            <w:pPr>
              <w:pStyle w:val="Heading3"/>
              <w:ind w:left="0" w:firstLine="0"/>
              <w:jc w:val="left"/>
            </w:pPr>
            <w:r>
              <w:t>Reason: (f</w:t>
            </w:r>
            <w:r w:rsidR="001C7E35" w:rsidRPr="00605A4C">
              <w:t>or recommendation</w:t>
            </w:r>
            <w:r w:rsidR="00714BEE" w:rsidRPr="00605A4C">
              <w:t>s</w:t>
            </w:r>
            <w:r w:rsidR="001C7E35" w:rsidRPr="00605A4C">
              <w:t>)</w:t>
            </w:r>
            <w:r w:rsidR="00F91AE4">
              <w:t xml:space="preserve"> </w:t>
            </w:r>
            <w:r w:rsidR="001C7E35">
              <w:t xml:space="preserve"> </w:t>
            </w:r>
          </w:p>
          <w:p w14:paraId="37565DF3" w14:textId="77777777" w:rsidR="001C0DA1" w:rsidRDefault="001C0DA1" w:rsidP="001C0DA1">
            <w:pPr>
              <w:jc w:val="both"/>
              <w:rPr>
                <w:rFonts w:cs="Arial"/>
                <w:lang w:val="en-US"/>
              </w:rPr>
            </w:pPr>
            <w:r w:rsidRPr="007E2266">
              <w:rPr>
                <w:rFonts w:cs="Arial"/>
                <w:lang w:val="en-US"/>
              </w:rPr>
              <w:t xml:space="preserve">To promote effective financial management </w:t>
            </w:r>
            <w:r>
              <w:rPr>
                <w:rFonts w:cs="Arial"/>
                <w:lang w:val="en-US"/>
              </w:rPr>
              <w:t>relating to the Authority’s borrowing and investment powers contained in the Local Government Act 2003, and supporting regulations and guidance detailed below:</w:t>
            </w:r>
          </w:p>
          <w:p w14:paraId="075F07B0" w14:textId="0065B6C2" w:rsidR="001C0DA1" w:rsidRDefault="001C0DA1" w:rsidP="0052536B">
            <w:pPr>
              <w:pStyle w:val="ListParagraph"/>
              <w:numPr>
                <w:ilvl w:val="0"/>
                <w:numId w:val="7"/>
              </w:numPr>
              <w:jc w:val="both"/>
              <w:rPr>
                <w:rFonts w:cs="Arial"/>
                <w:lang w:val="en-US"/>
              </w:rPr>
            </w:pPr>
            <w:r w:rsidRPr="00B25A95">
              <w:rPr>
                <w:rFonts w:cs="Arial"/>
                <w:lang w:val="en-US"/>
              </w:rPr>
              <w:t>the Local Authorities (Capital Finance and Accounting) Regulations</w:t>
            </w:r>
            <w:r>
              <w:rPr>
                <w:rFonts w:cs="Arial"/>
                <w:lang w:val="en-US"/>
              </w:rPr>
              <w:t xml:space="preserve"> 2003 (as amended)</w:t>
            </w:r>
            <w:r w:rsidRPr="00B25A95">
              <w:rPr>
                <w:rFonts w:cs="Arial"/>
                <w:lang w:val="en-US"/>
              </w:rPr>
              <w:t>,</w:t>
            </w:r>
          </w:p>
          <w:p w14:paraId="63B6A2FB" w14:textId="6580F1EC" w:rsidR="001C0DA1" w:rsidRDefault="001C0DA1" w:rsidP="0052536B">
            <w:pPr>
              <w:pStyle w:val="ListParagraph"/>
              <w:numPr>
                <w:ilvl w:val="0"/>
                <w:numId w:val="7"/>
              </w:numPr>
              <w:jc w:val="both"/>
              <w:rPr>
                <w:rFonts w:cs="Arial"/>
                <w:lang w:val="en-US"/>
              </w:rPr>
            </w:pPr>
            <w:r w:rsidRPr="00B25A95">
              <w:rPr>
                <w:rFonts w:cs="Arial"/>
                <w:lang w:val="en-US"/>
              </w:rPr>
              <w:t>CIPFA Prudential Code</w:t>
            </w:r>
            <w:r w:rsidR="00103408">
              <w:rPr>
                <w:rFonts w:cs="Arial"/>
                <w:lang w:val="en-US"/>
              </w:rPr>
              <w:t xml:space="preserve"> (2021)</w:t>
            </w:r>
            <w:r w:rsidRPr="00B25A95">
              <w:rPr>
                <w:rFonts w:cs="Arial"/>
                <w:lang w:val="en-US"/>
              </w:rPr>
              <w:t xml:space="preserve"> and</w:t>
            </w:r>
            <w:r w:rsidR="00103408">
              <w:rPr>
                <w:rFonts w:cs="Arial"/>
                <w:lang w:val="en-US"/>
              </w:rPr>
              <w:t xml:space="preserve"> CIPFA </w:t>
            </w:r>
            <w:r w:rsidRPr="00B25A95">
              <w:rPr>
                <w:rFonts w:cs="Arial"/>
                <w:lang w:val="en-US"/>
              </w:rPr>
              <w:t>Treasury Management Code of Practice</w:t>
            </w:r>
            <w:r>
              <w:rPr>
                <w:rFonts w:cs="Arial"/>
                <w:lang w:val="en-US"/>
              </w:rPr>
              <w:t xml:space="preserve"> </w:t>
            </w:r>
            <w:r w:rsidR="00103408">
              <w:rPr>
                <w:rFonts w:cs="Arial"/>
                <w:lang w:val="en-US"/>
              </w:rPr>
              <w:t>(</w:t>
            </w:r>
            <w:r>
              <w:rPr>
                <w:rFonts w:cs="Arial"/>
                <w:lang w:val="en-US"/>
              </w:rPr>
              <w:t>20</w:t>
            </w:r>
            <w:r w:rsidR="002B28F4">
              <w:rPr>
                <w:rFonts w:cs="Arial"/>
                <w:lang w:val="en-US"/>
              </w:rPr>
              <w:t>21</w:t>
            </w:r>
            <w:r w:rsidR="00103408">
              <w:rPr>
                <w:rFonts w:cs="Arial"/>
                <w:lang w:val="en-US"/>
              </w:rPr>
              <w:t>)</w:t>
            </w:r>
            <w:r w:rsidR="001210A1">
              <w:rPr>
                <w:rFonts w:cs="Arial"/>
                <w:lang w:val="en-US"/>
              </w:rPr>
              <w:t>, and accompanying Guidance Notes</w:t>
            </w:r>
          </w:p>
          <w:p w14:paraId="7097724A" w14:textId="51939570" w:rsidR="001C0DA1" w:rsidRDefault="00EC70C6" w:rsidP="0052536B">
            <w:pPr>
              <w:pStyle w:val="ListParagraph"/>
              <w:numPr>
                <w:ilvl w:val="0"/>
                <w:numId w:val="7"/>
              </w:numPr>
              <w:jc w:val="both"/>
              <w:rPr>
                <w:rFonts w:cs="Arial"/>
                <w:lang w:val="en-US"/>
              </w:rPr>
            </w:pPr>
            <w:r>
              <w:rPr>
                <w:rFonts w:cs="Arial"/>
                <w:lang w:val="en-US"/>
              </w:rPr>
              <w:t>DLUHC (Previously MHCLG)</w:t>
            </w:r>
            <w:r w:rsidR="00103408">
              <w:rPr>
                <w:rFonts w:cs="Arial"/>
                <w:lang w:val="en-US"/>
              </w:rPr>
              <w:t xml:space="preserve"> </w:t>
            </w:r>
            <w:r w:rsidR="001C0DA1" w:rsidRPr="00B25A95">
              <w:rPr>
                <w:rFonts w:cs="Arial"/>
                <w:lang w:val="en-US"/>
              </w:rPr>
              <w:t>Investment</w:t>
            </w:r>
            <w:r w:rsidR="00103408">
              <w:rPr>
                <w:rFonts w:cs="Arial"/>
                <w:lang w:val="en-US"/>
              </w:rPr>
              <w:t xml:space="preserve"> Guidance (2018)</w:t>
            </w:r>
            <w:r w:rsidR="001C0DA1" w:rsidRPr="00B25A95">
              <w:rPr>
                <w:rFonts w:cs="Arial"/>
                <w:lang w:val="en-US"/>
              </w:rPr>
              <w:t xml:space="preserve"> and MRP Guidance</w:t>
            </w:r>
            <w:r w:rsidR="001C0DA1">
              <w:rPr>
                <w:rFonts w:cs="Arial"/>
                <w:lang w:val="en-US"/>
              </w:rPr>
              <w:t xml:space="preserve"> </w:t>
            </w:r>
            <w:r w:rsidR="00103408">
              <w:rPr>
                <w:rFonts w:cs="Arial"/>
                <w:lang w:val="en-US"/>
              </w:rPr>
              <w:t>(</w:t>
            </w:r>
            <w:r w:rsidR="001C0DA1">
              <w:rPr>
                <w:rFonts w:cs="Arial"/>
                <w:lang w:val="en-US"/>
              </w:rPr>
              <w:t>2018</w:t>
            </w:r>
            <w:r w:rsidR="00103408">
              <w:rPr>
                <w:rFonts w:cs="Arial"/>
                <w:lang w:val="en-US"/>
              </w:rPr>
              <w:t>)</w:t>
            </w:r>
          </w:p>
          <w:p w14:paraId="313BC81E" w14:textId="55E3FE39" w:rsidR="002B28F4" w:rsidRPr="002B28F4" w:rsidRDefault="002B28F4" w:rsidP="002B28F4">
            <w:pPr>
              <w:jc w:val="both"/>
              <w:rPr>
                <w:rFonts w:cs="Arial"/>
                <w:lang w:val="en-US"/>
              </w:rPr>
            </w:pPr>
          </w:p>
        </w:tc>
      </w:tr>
    </w:tbl>
    <w:p w14:paraId="0204F38A" w14:textId="77777777" w:rsidR="00333FAA" w:rsidRDefault="00333FAA" w:rsidP="00F06E4E">
      <w:pPr>
        <w:pStyle w:val="Heading2"/>
        <w:spacing w:before="480"/>
      </w:pPr>
      <w:r>
        <w:t>Section 2 – Report</w:t>
      </w:r>
    </w:p>
    <w:p w14:paraId="76168D48" w14:textId="771E8DA6" w:rsidR="001C7E35" w:rsidRDefault="001C7E35" w:rsidP="00BD1B30">
      <w:pPr>
        <w:pStyle w:val="Heading3"/>
        <w:spacing w:before="240"/>
        <w:ind w:left="0" w:firstLine="0"/>
      </w:pPr>
      <w:r>
        <w:t>Introduct</w:t>
      </w:r>
      <w:r w:rsidR="00F50081">
        <w:t>ion</w:t>
      </w:r>
    </w:p>
    <w:p w14:paraId="1E33E790" w14:textId="77777777" w:rsidR="00A352F2" w:rsidRDefault="00A352F2" w:rsidP="00B4145A">
      <w:pPr>
        <w:jc w:val="both"/>
      </w:pPr>
    </w:p>
    <w:p w14:paraId="2BF86A70" w14:textId="13646C19" w:rsidR="00A73A50" w:rsidRDefault="00A73A50" w:rsidP="0099334D">
      <w:pPr>
        <w:pStyle w:val="ListParagraph"/>
        <w:numPr>
          <w:ilvl w:val="0"/>
          <w:numId w:val="4"/>
        </w:numPr>
        <w:ind w:left="0" w:hanging="567"/>
        <w:rPr>
          <w:rFonts w:cs="Arial"/>
          <w:bCs/>
          <w:szCs w:val="24"/>
        </w:rPr>
      </w:pPr>
      <w:r w:rsidRPr="00A73A50">
        <w:rPr>
          <w:rFonts w:cs="Arial"/>
          <w:bCs/>
          <w:szCs w:val="24"/>
        </w:rPr>
        <w:t xml:space="preserve">The Council is required to operate a balanced budget, which broadly means that cash raised during the year will meet cash expenditure. Part of the treasury management operation is to ensure that this cash flow is adequately planned, with cash being available when it is needed.  Surplus monies are invested in </w:t>
      </w:r>
      <w:proofErr w:type="gramStart"/>
      <w:r w:rsidRPr="00A73A50">
        <w:rPr>
          <w:rFonts w:cs="Arial"/>
          <w:bCs/>
          <w:szCs w:val="24"/>
        </w:rPr>
        <w:t>low risk</w:t>
      </w:r>
      <w:proofErr w:type="gramEnd"/>
      <w:r w:rsidRPr="00A73A50">
        <w:rPr>
          <w:rFonts w:cs="Arial"/>
          <w:bCs/>
          <w:szCs w:val="24"/>
        </w:rPr>
        <w:t xml:space="preserve"> counterparties or instruments commensurate with the Council’s low risk appetite, providing adequate liquidity initially before considering investment return.</w:t>
      </w:r>
    </w:p>
    <w:p w14:paraId="0E93AC2A" w14:textId="77777777" w:rsidR="004C76CE" w:rsidRPr="00A73A50" w:rsidRDefault="004C76CE" w:rsidP="0099334D">
      <w:pPr>
        <w:pStyle w:val="ListParagraph"/>
        <w:ind w:left="0"/>
        <w:rPr>
          <w:rFonts w:cs="Arial"/>
          <w:bCs/>
          <w:szCs w:val="24"/>
        </w:rPr>
      </w:pPr>
    </w:p>
    <w:p w14:paraId="32CA57E7" w14:textId="54C4A744" w:rsidR="00A73A50" w:rsidRPr="00A73A50" w:rsidRDefault="00A73A50" w:rsidP="0099334D">
      <w:pPr>
        <w:pStyle w:val="ListParagraph"/>
        <w:numPr>
          <w:ilvl w:val="0"/>
          <w:numId w:val="4"/>
        </w:numPr>
        <w:ind w:left="0" w:hanging="567"/>
        <w:rPr>
          <w:rFonts w:cs="Arial"/>
          <w:bCs/>
          <w:szCs w:val="24"/>
        </w:rPr>
      </w:pPr>
      <w:r w:rsidRPr="00A73A50">
        <w:rPr>
          <w:rFonts w:cs="Arial"/>
          <w:bCs/>
          <w:szCs w:val="24"/>
        </w:rPr>
        <w:t xml:space="preserve">The second main function of the treasury management service is the funding of the Council’s capital plans.  These capital plans provide a guide to the borrowing need of the Council, essentially the longer-term cash flow planning, to ensure that the Council can meet its capital spending obligations. This management of longer-term cash may involve arranging long or short-term </w:t>
      </w:r>
      <w:proofErr w:type="gramStart"/>
      <w:r w:rsidRPr="00A73A50">
        <w:rPr>
          <w:rFonts w:cs="Arial"/>
          <w:bCs/>
          <w:szCs w:val="24"/>
        </w:rPr>
        <w:t>loans, or</w:t>
      </w:r>
      <w:proofErr w:type="gramEnd"/>
      <w:r w:rsidRPr="00A73A50">
        <w:rPr>
          <w:rFonts w:cs="Arial"/>
          <w:bCs/>
          <w:szCs w:val="24"/>
        </w:rPr>
        <w:t xml:space="preserve"> using longer-term cash flow surpluses. On occasion, when it is prudent and economic</w:t>
      </w:r>
      <w:r w:rsidR="00D82559">
        <w:rPr>
          <w:rFonts w:cs="Arial"/>
          <w:bCs/>
          <w:szCs w:val="24"/>
        </w:rPr>
        <w:t>ally beneficial</w:t>
      </w:r>
      <w:r w:rsidRPr="00A73A50">
        <w:rPr>
          <w:rFonts w:cs="Arial"/>
          <w:bCs/>
          <w:szCs w:val="24"/>
        </w:rPr>
        <w:t xml:space="preserve">, any debt previously drawn may be restructured to meet Council risk or cost objectives. </w:t>
      </w:r>
    </w:p>
    <w:p w14:paraId="179B020D" w14:textId="77777777" w:rsidR="00A73A50" w:rsidRPr="00A73A50" w:rsidRDefault="00A73A50" w:rsidP="0099334D">
      <w:pPr>
        <w:pStyle w:val="ListParagraph"/>
        <w:ind w:left="0"/>
        <w:rPr>
          <w:rFonts w:cs="Arial"/>
          <w:bCs/>
          <w:szCs w:val="24"/>
        </w:rPr>
      </w:pPr>
    </w:p>
    <w:p w14:paraId="30AA6AFD" w14:textId="38577D02" w:rsidR="00A73A50" w:rsidRPr="00A73A50" w:rsidRDefault="00A73A50" w:rsidP="0099334D">
      <w:pPr>
        <w:pStyle w:val="ListParagraph"/>
        <w:numPr>
          <w:ilvl w:val="0"/>
          <w:numId w:val="4"/>
        </w:numPr>
        <w:tabs>
          <w:tab w:val="num" w:pos="709"/>
        </w:tabs>
        <w:ind w:left="0" w:hanging="567"/>
        <w:rPr>
          <w:rFonts w:cs="Arial"/>
          <w:bCs/>
          <w:szCs w:val="24"/>
        </w:rPr>
      </w:pPr>
      <w:r w:rsidRPr="00A73A50">
        <w:rPr>
          <w:rFonts w:cs="Arial"/>
          <w:bCs/>
          <w:szCs w:val="24"/>
        </w:rPr>
        <w:t xml:space="preserve">The contribution the treasury management function makes to the </w:t>
      </w:r>
      <w:r w:rsidR="00D82559">
        <w:rPr>
          <w:rFonts w:cs="Arial"/>
          <w:bCs/>
          <w:szCs w:val="24"/>
        </w:rPr>
        <w:t>A</w:t>
      </w:r>
      <w:r w:rsidRPr="00A73A50">
        <w:rPr>
          <w:rFonts w:cs="Arial"/>
          <w:bCs/>
          <w:szCs w:val="24"/>
        </w:rPr>
        <w:t>uthority is critical, as the balance of debt and investment operations ensure liquidity or the ability to meet spending commitments as they fall due, either on day-to-day revenue or for larger capital projects.  The treasury operations will see a balance of the interest costs of debt and the investment income arising from cash deposits affecting the available budget.  Since cash balances generally result from reserves and balances, it is paramount to ensure adequate security of the sums invested, as a loss of principal will in effect result in a loss to the General Fund Balance.</w:t>
      </w:r>
    </w:p>
    <w:p w14:paraId="14D74394" w14:textId="77777777" w:rsidR="00A73A50" w:rsidRPr="00A73A50" w:rsidRDefault="00A73A50" w:rsidP="0099334D">
      <w:pPr>
        <w:pStyle w:val="ListParagraph"/>
        <w:ind w:left="0"/>
        <w:rPr>
          <w:rFonts w:cs="Arial"/>
          <w:bCs/>
          <w:szCs w:val="24"/>
        </w:rPr>
      </w:pPr>
    </w:p>
    <w:p w14:paraId="21484C2D" w14:textId="77777777" w:rsidR="00A73A50" w:rsidRPr="00A73A50" w:rsidRDefault="00A73A50" w:rsidP="0099334D">
      <w:pPr>
        <w:pStyle w:val="ListParagraph"/>
        <w:numPr>
          <w:ilvl w:val="0"/>
          <w:numId w:val="4"/>
        </w:numPr>
        <w:tabs>
          <w:tab w:val="num" w:pos="709"/>
        </w:tabs>
        <w:ind w:left="0" w:hanging="567"/>
        <w:rPr>
          <w:rFonts w:cs="Arial"/>
          <w:bCs/>
          <w:szCs w:val="24"/>
        </w:rPr>
      </w:pPr>
      <w:r w:rsidRPr="00A73A50">
        <w:rPr>
          <w:rFonts w:cs="Arial"/>
          <w:bCs/>
          <w:szCs w:val="24"/>
        </w:rPr>
        <w:t>CIPFA defines treasury management as:</w:t>
      </w:r>
    </w:p>
    <w:p w14:paraId="6D9F11CB" w14:textId="77777777" w:rsidR="00A73A50" w:rsidRPr="008913FE" w:rsidRDefault="00A73A50" w:rsidP="0099334D">
      <w:pPr>
        <w:pStyle w:val="ListParagraph"/>
        <w:ind w:left="0"/>
        <w:rPr>
          <w:rFonts w:cs="Arial"/>
          <w:bCs/>
          <w:i/>
          <w:iCs/>
          <w:szCs w:val="24"/>
        </w:rPr>
      </w:pPr>
      <w:r w:rsidRPr="008913FE">
        <w:rPr>
          <w:rFonts w:cs="Arial"/>
          <w:bCs/>
          <w:i/>
          <w:iCs/>
          <w:szCs w:val="24"/>
        </w:rPr>
        <w:t>“The management of the local authority’s borrowing, investments and cash flows, its banking, money market and capital market transactions; the effective control of the risks associated with those activities; and the pursuit of optimum performance consistent with those risks.”</w:t>
      </w:r>
    </w:p>
    <w:p w14:paraId="0A7A8279" w14:textId="77777777" w:rsidR="00A73A50" w:rsidRPr="00A73A50" w:rsidRDefault="00A73A50" w:rsidP="0099334D">
      <w:pPr>
        <w:pStyle w:val="ListParagraph"/>
        <w:ind w:left="0"/>
        <w:rPr>
          <w:rFonts w:cs="Arial"/>
          <w:bCs/>
          <w:szCs w:val="24"/>
        </w:rPr>
      </w:pPr>
    </w:p>
    <w:p w14:paraId="34CDD357" w14:textId="112FB20D" w:rsidR="00A73A50" w:rsidRDefault="00A73A50" w:rsidP="0099334D">
      <w:pPr>
        <w:pStyle w:val="ListParagraph"/>
        <w:numPr>
          <w:ilvl w:val="0"/>
          <w:numId w:val="4"/>
        </w:numPr>
        <w:tabs>
          <w:tab w:val="num" w:pos="709"/>
        </w:tabs>
        <w:ind w:left="0" w:hanging="567"/>
        <w:rPr>
          <w:rFonts w:cs="Arial"/>
          <w:bCs/>
          <w:szCs w:val="24"/>
        </w:rPr>
      </w:pPr>
      <w:r w:rsidRPr="002B28F4">
        <w:rPr>
          <w:rFonts w:cs="Arial"/>
          <w:bCs/>
          <w:szCs w:val="24"/>
        </w:rPr>
        <w:t>The Local Government Act 2003</w:t>
      </w:r>
      <w:r w:rsidR="002B28F4">
        <w:rPr>
          <w:rFonts w:cs="Arial"/>
          <w:bCs/>
          <w:szCs w:val="24"/>
        </w:rPr>
        <w:t xml:space="preserve"> (the Act)</w:t>
      </w:r>
      <w:r w:rsidRPr="002B28F4">
        <w:rPr>
          <w:rFonts w:cs="Arial"/>
          <w:bCs/>
          <w:szCs w:val="24"/>
        </w:rPr>
        <w:t xml:space="preserve"> and supporting regulations require the Council to ‘have regard to’ the</w:t>
      </w:r>
      <w:r w:rsidR="00E65BA1">
        <w:rPr>
          <w:rFonts w:cs="Arial"/>
          <w:bCs/>
          <w:szCs w:val="24"/>
        </w:rPr>
        <w:t xml:space="preserve"> CIPFA</w:t>
      </w:r>
      <w:r w:rsidRPr="002B28F4">
        <w:rPr>
          <w:rFonts w:cs="Arial"/>
          <w:bCs/>
          <w:szCs w:val="24"/>
        </w:rPr>
        <w:t xml:space="preserve"> Prudential Code (The Prudential Code for Capital Finance in Local Authorities</w:t>
      </w:r>
      <w:r w:rsidR="00D82559">
        <w:rPr>
          <w:rFonts w:cs="Arial"/>
          <w:bCs/>
          <w:szCs w:val="24"/>
        </w:rPr>
        <w:t xml:space="preserve"> and accompanying Guidance Notes</w:t>
      </w:r>
      <w:r w:rsidRPr="002B28F4">
        <w:rPr>
          <w:rFonts w:cs="Arial"/>
          <w:bCs/>
          <w:szCs w:val="24"/>
        </w:rPr>
        <w:t>) and</w:t>
      </w:r>
      <w:r w:rsidR="00E65BA1">
        <w:rPr>
          <w:rFonts w:cs="Arial"/>
          <w:bCs/>
          <w:szCs w:val="24"/>
        </w:rPr>
        <w:t xml:space="preserve"> CIPFA</w:t>
      </w:r>
      <w:r w:rsidRPr="002B28F4">
        <w:rPr>
          <w:rFonts w:cs="Arial"/>
          <w:bCs/>
          <w:szCs w:val="24"/>
        </w:rPr>
        <w:t xml:space="preserve"> Treasury Management Code (Treasury Management in the Public Services: Code of Practice and Cross-Sectoral Guidance Notes), in setting </w:t>
      </w:r>
      <w:r w:rsidR="002B28F4" w:rsidRPr="002B28F4">
        <w:rPr>
          <w:rFonts w:cs="Arial"/>
          <w:bCs/>
          <w:szCs w:val="24"/>
        </w:rPr>
        <w:t>Prudential</w:t>
      </w:r>
      <w:r w:rsidRPr="002B28F4">
        <w:rPr>
          <w:rFonts w:cs="Arial"/>
          <w:bCs/>
          <w:szCs w:val="24"/>
        </w:rPr>
        <w:t xml:space="preserve"> and </w:t>
      </w:r>
      <w:r w:rsidR="002B28F4" w:rsidRPr="002B28F4">
        <w:rPr>
          <w:rFonts w:cs="Arial"/>
          <w:bCs/>
          <w:szCs w:val="24"/>
        </w:rPr>
        <w:t>Treasury</w:t>
      </w:r>
      <w:r w:rsidRPr="002B28F4">
        <w:rPr>
          <w:rFonts w:cs="Arial"/>
          <w:bCs/>
          <w:szCs w:val="24"/>
        </w:rPr>
        <w:t xml:space="preserve"> Indicators for the next three years and in ensuring that the Council’s capital investment programme is affordable, prudent and sustainable.</w:t>
      </w:r>
      <w:r w:rsidR="001C03BC" w:rsidRPr="002B28F4">
        <w:rPr>
          <w:rFonts w:cs="Arial"/>
          <w:bCs/>
          <w:szCs w:val="24"/>
        </w:rPr>
        <w:t xml:space="preserve">  This report has been prepared in accordance with the</w:t>
      </w:r>
      <w:r w:rsidR="002B28F4" w:rsidRPr="002B28F4">
        <w:rPr>
          <w:rFonts w:cs="Arial"/>
          <w:bCs/>
          <w:szCs w:val="24"/>
        </w:rPr>
        <w:t xml:space="preserve"> 2021</w:t>
      </w:r>
      <w:r w:rsidR="001C03BC" w:rsidRPr="002B28F4">
        <w:rPr>
          <w:rFonts w:cs="Arial"/>
          <w:bCs/>
          <w:szCs w:val="24"/>
        </w:rPr>
        <w:t xml:space="preserve"> CIPFA Prudential Code and Treasury Management Code of Practice publications.  </w:t>
      </w:r>
    </w:p>
    <w:p w14:paraId="68168739" w14:textId="77777777" w:rsidR="002B28F4" w:rsidRPr="002B28F4" w:rsidRDefault="002B28F4" w:rsidP="0099334D">
      <w:pPr>
        <w:pStyle w:val="ListParagraph"/>
        <w:ind w:left="0"/>
        <w:rPr>
          <w:rFonts w:cs="Arial"/>
          <w:bCs/>
          <w:szCs w:val="24"/>
        </w:rPr>
      </w:pPr>
    </w:p>
    <w:p w14:paraId="57317D68" w14:textId="538E67BE" w:rsidR="00A73A50" w:rsidRPr="00A73A50" w:rsidRDefault="00A73A50" w:rsidP="0099334D">
      <w:pPr>
        <w:pStyle w:val="ListParagraph"/>
        <w:numPr>
          <w:ilvl w:val="0"/>
          <w:numId w:val="4"/>
        </w:numPr>
        <w:tabs>
          <w:tab w:val="num" w:pos="709"/>
        </w:tabs>
        <w:ind w:left="0" w:hanging="567"/>
        <w:rPr>
          <w:rFonts w:cs="Arial"/>
          <w:bCs/>
          <w:szCs w:val="24"/>
        </w:rPr>
      </w:pPr>
      <w:r w:rsidRPr="00A73A50">
        <w:rPr>
          <w:rFonts w:cs="Arial"/>
          <w:bCs/>
          <w:szCs w:val="24"/>
        </w:rPr>
        <w:t>The Act, the</w:t>
      </w:r>
      <w:r w:rsidR="007120DD">
        <w:rPr>
          <w:rFonts w:cs="Arial"/>
          <w:bCs/>
          <w:szCs w:val="24"/>
        </w:rPr>
        <w:t xml:space="preserve"> CIPFA</w:t>
      </w:r>
      <w:r w:rsidRPr="00A73A50">
        <w:rPr>
          <w:rFonts w:cs="Arial"/>
          <w:bCs/>
          <w:szCs w:val="24"/>
        </w:rPr>
        <w:t xml:space="preserve"> Codes and Department for</w:t>
      </w:r>
      <w:r w:rsidR="001C03BC">
        <w:rPr>
          <w:rFonts w:cs="Arial"/>
          <w:bCs/>
          <w:szCs w:val="24"/>
        </w:rPr>
        <w:t xml:space="preserve"> Levelling Up Housing and</w:t>
      </w:r>
      <w:r w:rsidRPr="00A73A50">
        <w:rPr>
          <w:rFonts w:cs="Arial"/>
          <w:bCs/>
          <w:szCs w:val="24"/>
        </w:rPr>
        <w:t xml:space="preserve"> Communities</w:t>
      </w:r>
      <w:r w:rsidR="001C03BC">
        <w:rPr>
          <w:rFonts w:cs="Arial"/>
          <w:bCs/>
          <w:szCs w:val="24"/>
        </w:rPr>
        <w:t xml:space="preserve"> (DLUHC</w:t>
      </w:r>
      <w:r w:rsidR="001D183E">
        <w:rPr>
          <w:rFonts w:cs="Arial"/>
          <w:bCs/>
          <w:szCs w:val="24"/>
        </w:rPr>
        <w:t>, formally MHCLG</w:t>
      </w:r>
      <w:r w:rsidR="001C03BC">
        <w:rPr>
          <w:rFonts w:cs="Arial"/>
          <w:bCs/>
          <w:szCs w:val="24"/>
        </w:rPr>
        <w:t>)</w:t>
      </w:r>
      <w:r w:rsidR="00103408">
        <w:rPr>
          <w:rFonts w:cs="Arial"/>
          <w:bCs/>
          <w:szCs w:val="24"/>
        </w:rPr>
        <w:t xml:space="preserve"> Statutory</w:t>
      </w:r>
      <w:r w:rsidRPr="00A73A50">
        <w:rPr>
          <w:rFonts w:cs="Arial"/>
          <w:bCs/>
          <w:szCs w:val="24"/>
        </w:rPr>
        <w:t xml:space="preserve"> Investment Guidance (2018) require the Council to set out its Treasury Strategy for Borrowing and to prepare an Annual Investment Strategy that establishes the Council’s policies for managing its investments and for giving priority to the security and liquidity of those investments</w:t>
      </w:r>
      <w:r w:rsidR="00E65BA1">
        <w:rPr>
          <w:rFonts w:cs="Arial"/>
          <w:bCs/>
          <w:szCs w:val="24"/>
        </w:rPr>
        <w:t>, ahead of any yield considerations</w:t>
      </w:r>
      <w:r w:rsidRPr="00A73A50">
        <w:rPr>
          <w:rFonts w:cs="Arial"/>
          <w:bCs/>
          <w:szCs w:val="24"/>
        </w:rPr>
        <w:t xml:space="preserve">. </w:t>
      </w:r>
      <w:r w:rsidRPr="007120DD">
        <w:rPr>
          <w:rFonts w:cs="Arial"/>
          <w:bCs/>
          <w:szCs w:val="24"/>
        </w:rPr>
        <w:t xml:space="preserve">A summary of the relevant legislation, regulations and guidance is included as </w:t>
      </w:r>
      <w:r w:rsidRPr="00CB090A">
        <w:rPr>
          <w:rFonts w:cs="Arial"/>
          <w:bCs/>
          <w:szCs w:val="24"/>
        </w:rPr>
        <w:t>Appendix A.</w:t>
      </w:r>
    </w:p>
    <w:p w14:paraId="20A4DF97" w14:textId="77777777" w:rsidR="00A73A50" w:rsidRPr="00A73A50" w:rsidRDefault="00A73A50" w:rsidP="0099334D">
      <w:pPr>
        <w:pStyle w:val="ListParagraph"/>
        <w:ind w:left="0"/>
        <w:rPr>
          <w:rFonts w:cs="Arial"/>
          <w:bCs/>
          <w:szCs w:val="24"/>
        </w:rPr>
      </w:pPr>
    </w:p>
    <w:p w14:paraId="70227167" w14:textId="2032B8BD" w:rsidR="00A73A50" w:rsidRPr="00A73A50" w:rsidRDefault="00A73A50" w:rsidP="0099334D">
      <w:pPr>
        <w:pStyle w:val="ListParagraph"/>
        <w:numPr>
          <w:ilvl w:val="0"/>
          <w:numId w:val="4"/>
        </w:numPr>
        <w:tabs>
          <w:tab w:val="num" w:pos="709"/>
        </w:tabs>
        <w:ind w:left="0" w:hanging="567"/>
        <w:rPr>
          <w:rFonts w:cs="Arial"/>
          <w:bCs/>
          <w:szCs w:val="24"/>
        </w:rPr>
      </w:pPr>
      <w:r w:rsidRPr="00A73A50">
        <w:rPr>
          <w:rFonts w:cs="Arial"/>
          <w:bCs/>
          <w:szCs w:val="24"/>
        </w:rPr>
        <w:t>The budget for each financial year includes the revenue costs that flow from capital financing decisions. Under the</w:t>
      </w:r>
      <w:r w:rsidR="00103408">
        <w:rPr>
          <w:rFonts w:cs="Arial"/>
          <w:bCs/>
          <w:szCs w:val="24"/>
        </w:rPr>
        <w:t xml:space="preserve"> CIPFA Prudential Code and</w:t>
      </w:r>
      <w:r w:rsidRPr="00A73A50">
        <w:rPr>
          <w:rFonts w:cs="Arial"/>
          <w:bCs/>
          <w:szCs w:val="24"/>
        </w:rPr>
        <w:t xml:space="preserve"> Treasury Management Code</w:t>
      </w:r>
      <w:r w:rsidR="00103408">
        <w:rPr>
          <w:rFonts w:cs="Arial"/>
          <w:bCs/>
          <w:szCs w:val="24"/>
        </w:rPr>
        <w:t xml:space="preserve"> of Practice</w:t>
      </w:r>
      <w:r w:rsidRPr="00A73A50">
        <w:rPr>
          <w:rFonts w:cs="Arial"/>
          <w:bCs/>
          <w:szCs w:val="24"/>
        </w:rPr>
        <w:t xml:space="preserve">, increases in capital expenditure should be limited to levels whereby increases in interest </w:t>
      </w:r>
      <w:r w:rsidRPr="007120DD">
        <w:rPr>
          <w:rFonts w:cs="Arial"/>
          <w:bCs/>
          <w:szCs w:val="24"/>
        </w:rPr>
        <w:t>charges</w:t>
      </w:r>
      <w:r w:rsidR="004E26A2" w:rsidRPr="007120DD">
        <w:rPr>
          <w:rFonts w:cs="Arial"/>
          <w:bCs/>
          <w:szCs w:val="24"/>
        </w:rPr>
        <w:t>,</w:t>
      </w:r>
      <w:r w:rsidR="007120DD">
        <w:rPr>
          <w:rFonts w:cs="Arial"/>
          <w:bCs/>
          <w:szCs w:val="24"/>
        </w:rPr>
        <w:t xml:space="preserve"> running costs and</w:t>
      </w:r>
      <w:r w:rsidR="004E26A2" w:rsidRPr="007120DD">
        <w:rPr>
          <w:rFonts w:cs="Arial"/>
          <w:bCs/>
          <w:szCs w:val="24"/>
        </w:rPr>
        <w:t xml:space="preserve"> </w:t>
      </w:r>
      <w:r w:rsidR="007120DD">
        <w:rPr>
          <w:rFonts w:cs="Arial"/>
          <w:bCs/>
          <w:szCs w:val="24"/>
        </w:rPr>
        <w:t xml:space="preserve">provision </w:t>
      </w:r>
      <w:r w:rsidR="004E26A2" w:rsidRPr="007120DD">
        <w:rPr>
          <w:rFonts w:cs="Arial"/>
          <w:bCs/>
          <w:szCs w:val="24"/>
        </w:rPr>
        <w:t>debt repayment</w:t>
      </w:r>
      <w:r w:rsidRPr="007120DD">
        <w:rPr>
          <w:rFonts w:cs="Arial"/>
          <w:bCs/>
          <w:szCs w:val="24"/>
        </w:rPr>
        <w:t xml:space="preserve"> are affordable within the Council’s budget.</w:t>
      </w:r>
      <w:r w:rsidRPr="00A73A50">
        <w:rPr>
          <w:rFonts w:cs="Arial"/>
          <w:bCs/>
          <w:szCs w:val="24"/>
        </w:rPr>
        <w:t xml:space="preserve"> </w:t>
      </w:r>
    </w:p>
    <w:p w14:paraId="74657C8B" w14:textId="77777777" w:rsidR="00A73A50" w:rsidRPr="00A73A50" w:rsidRDefault="00A73A50" w:rsidP="0099334D">
      <w:pPr>
        <w:pStyle w:val="ListParagraph"/>
        <w:ind w:left="0"/>
        <w:rPr>
          <w:rFonts w:cs="Arial"/>
          <w:bCs/>
          <w:szCs w:val="24"/>
        </w:rPr>
      </w:pPr>
    </w:p>
    <w:p w14:paraId="7467D1B6" w14:textId="77777777" w:rsidR="00A73A50" w:rsidRPr="00A73A50" w:rsidRDefault="00A73A50" w:rsidP="0099334D">
      <w:pPr>
        <w:pStyle w:val="ListParagraph"/>
        <w:numPr>
          <w:ilvl w:val="0"/>
          <w:numId w:val="4"/>
        </w:numPr>
        <w:tabs>
          <w:tab w:val="num" w:pos="709"/>
        </w:tabs>
        <w:ind w:left="0" w:hanging="567"/>
        <w:rPr>
          <w:rFonts w:cs="Arial"/>
          <w:bCs/>
          <w:szCs w:val="24"/>
        </w:rPr>
      </w:pPr>
      <w:r w:rsidRPr="00A73A50">
        <w:rPr>
          <w:rFonts w:cs="Arial"/>
          <w:bCs/>
          <w:szCs w:val="24"/>
        </w:rPr>
        <w:t xml:space="preserve">The Council regards the successful identification, monitoring and control of risk to be the prime criteria by which the effectiveness of its treasury management activities will be measured. Accordingly, the analysis and reporting of treasury management activities will focus on their risk implications for the organisation. </w:t>
      </w:r>
    </w:p>
    <w:p w14:paraId="4DE51EA4" w14:textId="77777777" w:rsidR="00A73A50" w:rsidRPr="00A73A50" w:rsidRDefault="00A73A50" w:rsidP="0099334D">
      <w:pPr>
        <w:pStyle w:val="ListParagraph"/>
        <w:ind w:left="0"/>
        <w:rPr>
          <w:rFonts w:cs="Arial"/>
          <w:bCs/>
          <w:szCs w:val="24"/>
        </w:rPr>
      </w:pPr>
    </w:p>
    <w:p w14:paraId="5B27AFD9" w14:textId="77777777" w:rsidR="007B5193" w:rsidRDefault="00A73A50" w:rsidP="0099334D">
      <w:pPr>
        <w:pStyle w:val="ListParagraph"/>
        <w:numPr>
          <w:ilvl w:val="0"/>
          <w:numId w:val="4"/>
        </w:numPr>
        <w:tabs>
          <w:tab w:val="num" w:pos="709"/>
        </w:tabs>
        <w:ind w:left="0" w:hanging="567"/>
        <w:rPr>
          <w:rFonts w:cs="Arial"/>
          <w:bCs/>
          <w:szCs w:val="24"/>
        </w:rPr>
      </w:pPr>
      <w:r w:rsidRPr="00A73A50">
        <w:rPr>
          <w:rFonts w:cs="Arial"/>
          <w:bCs/>
          <w:szCs w:val="24"/>
        </w:rPr>
        <w:t xml:space="preserve">The Council recognises that effective treasury management will provide support towards the achievement of its business and service objectives. It is therefore committed to the principles of achieving value for money in treasury </w:t>
      </w:r>
      <w:r w:rsidRPr="00A73A50">
        <w:rPr>
          <w:rFonts w:cs="Arial"/>
          <w:bCs/>
          <w:szCs w:val="24"/>
        </w:rPr>
        <w:lastRenderedPageBreak/>
        <w:t>management, and to employing suitable comprehensive performance measurement techniques, within the context of effective risk management.</w:t>
      </w:r>
    </w:p>
    <w:p w14:paraId="1C91FDBD" w14:textId="77777777" w:rsidR="007B5193" w:rsidRPr="007B5193" w:rsidRDefault="007B5193" w:rsidP="0099334D">
      <w:pPr>
        <w:pStyle w:val="ListParagraph"/>
        <w:rPr>
          <w:rFonts w:cs="Arial"/>
          <w:bCs/>
          <w:szCs w:val="24"/>
        </w:rPr>
      </w:pPr>
    </w:p>
    <w:p w14:paraId="211402A2" w14:textId="32C79811" w:rsidR="00280C0A" w:rsidRPr="007B5193" w:rsidRDefault="007B5193" w:rsidP="0099334D">
      <w:pPr>
        <w:pStyle w:val="ListParagraph"/>
        <w:numPr>
          <w:ilvl w:val="0"/>
          <w:numId w:val="4"/>
        </w:numPr>
        <w:tabs>
          <w:tab w:val="num" w:pos="709"/>
        </w:tabs>
        <w:ind w:left="0" w:hanging="720"/>
        <w:rPr>
          <w:rFonts w:cs="Arial"/>
          <w:bCs/>
          <w:szCs w:val="24"/>
        </w:rPr>
      </w:pPr>
      <w:r w:rsidRPr="00251E70">
        <w:rPr>
          <w:rFonts w:cs="Arial"/>
          <w:bCs/>
          <w:szCs w:val="24"/>
        </w:rPr>
        <w:t xml:space="preserve">It is not considered necessary to produce a separate treasury management strategy for the Housing Revenue Account (HRA) </w:t>
      </w:r>
      <w:proofErr w:type="gramStart"/>
      <w:r w:rsidRPr="00251E70">
        <w:rPr>
          <w:rFonts w:cs="Arial"/>
          <w:bCs/>
          <w:szCs w:val="24"/>
        </w:rPr>
        <w:t>in light of</w:t>
      </w:r>
      <w:proofErr w:type="gramEnd"/>
      <w:r w:rsidRPr="00251E70">
        <w:rPr>
          <w:rFonts w:cs="Arial"/>
          <w:bCs/>
          <w:szCs w:val="24"/>
        </w:rPr>
        <w:t xml:space="preserve"> the co-mingling of historic debt and investments between HRA and the General Fund. Where appropriate, details of allocations of balances and interest to HRA are contained in this report</w:t>
      </w:r>
      <w:r w:rsidR="00505C3E">
        <w:rPr>
          <w:rFonts w:cs="Arial"/>
          <w:bCs/>
          <w:szCs w:val="24"/>
        </w:rPr>
        <w:t xml:space="preserve"> and Prudential Indicators are broken down between the General Fund and HRA where required.</w:t>
      </w:r>
      <w:r w:rsidRPr="00251E70">
        <w:rPr>
          <w:rFonts w:cs="Arial"/>
          <w:bCs/>
          <w:szCs w:val="24"/>
        </w:rPr>
        <w:t xml:space="preserve"> </w:t>
      </w:r>
    </w:p>
    <w:p w14:paraId="561EF9BB" w14:textId="77777777" w:rsidR="00280C0A" w:rsidRPr="00280C0A" w:rsidRDefault="00280C0A" w:rsidP="0099334D">
      <w:pPr>
        <w:pStyle w:val="ListParagraph"/>
        <w:ind w:left="0"/>
        <w:rPr>
          <w:rFonts w:cs="Arial"/>
          <w:bCs/>
          <w:szCs w:val="24"/>
        </w:rPr>
      </w:pPr>
    </w:p>
    <w:p w14:paraId="0E637316" w14:textId="01A10967" w:rsidR="00333FAA" w:rsidRPr="004E26A2" w:rsidRDefault="0047091C" w:rsidP="0099334D">
      <w:pPr>
        <w:pStyle w:val="ListParagraph"/>
        <w:ind w:left="0"/>
        <w:rPr>
          <w:rFonts w:cs="Arial"/>
          <w:b/>
          <w:bCs/>
          <w:iCs/>
          <w:noProof/>
          <w:szCs w:val="24"/>
        </w:rPr>
      </w:pPr>
      <w:r w:rsidRPr="004E26A2">
        <w:rPr>
          <w:rFonts w:cs="Arial"/>
          <w:b/>
          <w:bCs/>
          <w:iCs/>
          <w:noProof/>
          <w:szCs w:val="24"/>
        </w:rPr>
        <w:t>Reporting Requirements</w:t>
      </w:r>
    </w:p>
    <w:p w14:paraId="3D42BB5C" w14:textId="77777777" w:rsidR="004E26A2" w:rsidRDefault="004E26A2" w:rsidP="0099334D">
      <w:pPr>
        <w:pStyle w:val="ListParagraph"/>
        <w:ind w:left="0"/>
        <w:rPr>
          <w:rFonts w:cs="Arial"/>
          <w:bCs/>
          <w:szCs w:val="24"/>
        </w:rPr>
      </w:pPr>
    </w:p>
    <w:p w14:paraId="1D1DE51A" w14:textId="7AE1BD61" w:rsidR="00806F71" w:rsidRPr="00806F71" w:rsidRDefault="0047091C" w:rsidP="0099334D">
      <w:pPr>
        <w:pStyle w:val="ListParagraph"/>
        <w:numPr>
          <w:ilvl w:val="0"/>
          <w:numId w:val="4"/>
        </w:numPr>
        <w:tabs>
          <w:tab w:val="num" w:pos="709"/>
        </w:tabs>
        <w:ind w:left="0" w:hanging="720"/>
        <w:rPr>
          <w:rFonts w:cs="Arial"/>
          <w:iCs/>
          <w:noProof/>
          <w:szCs w:val="24"/>
        </w:rPr>
      </w:pPr>
      <w:r w:rsidRPr="00806F71">
        <w:rPr>
          <w:rFonts w:cs="Arial"/>
          <w:bCs/>
          <w:szCs w:val="24"/>
        </w:rPr>
        <w:t>The Council</w:t>
      </w:r>
      <w:r w:rsidR="004E26A2" w:rsidRPr="00806F71">
        <w:rPr>
          <w:rFonts w:cs="Arial"/>
          <w:bCs/>
          <w:szCs w:val="24"/>
        </w:rPr>
        <w:t xml:space="preserve"> is</w:t>
      </w:r>
      <w:r w:rsidRPr="00806F71">
        <w:rPr>
          <w:rFonts w:cs="Arial"/>
          <w:bCs/>
          <w:szCs w:val="24"/>
        </w:rPr>
        <w:t xml:space="preserve"> required to receive and approve, as a minimum, three main reports each year, which incorporate a variety of policies, estimates and actuals.</w:t>
      </w:r>
    </w:p>
    <w:p w14:paraId="7938FC6C" w14:textId="77777777" w:rsidR="00806F71" w:rsidRDefault="00806F71" w:rsidP="0099334D">
      <w:pPr>
        <w:pStyle w:val="ListParagraph"/>
        <w:ind w:left="0"/>
        <w:rPr>
          <w:rFonts w:cs="Arial"/>
          <w:iCs/>
          <w:noProof/>
          <w:szCs w:val="24"/>
        </w:rPr>
      </w:pPr>
    </w:p>
    <w:p w14:paraId="3D9853F7" w14:textId="3F5A8D62" w:rsidR="0047091C" w:rsidRPr="00806F71" w:rsidRDefault="0047091C" w:rsidP="0099334D">
      <w:pPr>
        <w:pStyle w:val="ListParagraph"/>
        <w:ind w:left="0"/>
        <w:rPr>
          <w:rFonts w:cs="Arial"/>
          <w:iCs/>
          <w:noProof/>
          <w:szCs w:val="24"/>
        </w:rPr>
      </w:pPr>
      <w:r w:rsidRPr="00806F71">
        <w:rPr>
          <w:rFonts w:cs="Arial"/>
          <w:b/>
          <w:bCs/>
          <w:iCs/>
          <w:noProof/>
          <w:szCs w:val="24"/>
        </w:rPr>
        <w:t>Treasury Management Strategy Statement  Report</w:t>
      </w:r>
      <w:r w:rsidR="00C65A06" w:rsidRPr="00806F71">
        <w:rPr>
          <w:rFonts w:cs="Arial"/>
          <w:iCs/>
          <w:noProof/>
          <w:szCs w:val="24"/>
        </w:rPr>
        <w:t xml:space="preserve"> –</w:t>
      </w:r>
      <w:r w:rsidR="00A73A50" w:rsidRPr="00806F71">
        <w:rPr>
          <w:rFonts w:cs="Arial"/>
          <w:iCs/>
          <w:noProof/>
          <w:szCs w:val="24"/>
        </w:rPr>
        <w:t xml:space="preserve"> (</w:t>
      </w:r>
      <w:r w:rsidR="001D183E">
        <w:rPr>
          <w:rFonts w:cs="Arial"/>
          <w:iCs/>
          <w:noProof/>
          <w:szCs w:val="24"/>
        </w:rPr>
        <w:t xml:space="preserve">TMSS, </w:t>
      </w:r>
      <w:r w:rsidR="00A73A50" w:rsidRPr="00806F71">
        <w:rPr>
          <w:rFonts w:cs="Arial"/>
          <w:iCs/>
          <w:noProof/>
          <w:szCs w:val="24"/>
        </w:rPr>
        <w:t>this report)</w:t>
      </w:r>
      <w:r w:rsidR="00C65A06" w:rsidRPr="00806F71">
        <w:rPr>
          <w:rFonts w:cs="Arial"/>
          <w:iCs/>
          <w:noProof/>
          <w:szCs w:val="24"/>
        </w:rPr>
        <w:t xml:space="preserve"> </w:t>
      </w:r>
      <w:r w:rsidRPr="00806F71">
        <w:rPr>
          <w:rFonts w:cs="Arial"/>
          <w:iCs/>
          <w:noProof/>
          <w:szCs w:val="24"/>
        </w:rPr>
        <w:t xml:space="preserve">The first, and most important report is </w:t>
      </w:r>
      <w:r w:rsidR="005420FC" w:rsidRPr="00806F71">
        <w:rPr>
          <w:rFonts w:cs="Arial"/>
          <w:iCs/>
          <w:noProof/>
          <w:szCs w:val="24"/>
        </w:rPr>
        <w:t>forward looking</w:t>
      </w:r>
      <w:r w:rsidRPr="00806F71">
        <w:rPr>
          <w:rFonts w:cs="Arial"/>
          <w:iCs/>
          <w:noProof/>
          <w:szCs w:val="24"/>
        </w:rPr>
        <w:t xml:space="preserve"> and covers:</w:t>
      </w:r>
    </w:p>
    <w:p w14:paraId="4EEEA83C" w14:textId="77777777" w:rsidR="005420FC" w:rsidRPr="004E26A2" w:rsidRDefault="005420FC" w:rsidP="0099334D">
      <w:pPr>
        <w:pStyle w:val="ListParagraph"/>
        <w:numPr>
          <w:ilvl w:val="0"/>
          <w:numId w:val="1"/>
        </w:numPr>
        <w:autoSpaceDE w:val="0"/>
        <w:autoSpaceDN w:val="0"/>
        <w:adjustRightInd w:val="0"/>
        <w:ind w:left="284" w:hanging="284"/>
        <w:rPr>
          <w:rFonts w:cs="Arial"/>
          <w:szCs w:val="24"/>
          <w:lang w:eastAsia="en-GB"/>
        </w:rPr>
      </w:pPr>
      <w:r w:rsidRPr="004E26A2">
        <w:rPr>
          <w:rFonts w:cs="Arial"/>
          <w:szCs w:val="24"/>
          <w:lang w:eastAsia="en-GB"/>
        </w:rPr>
        <w:t>the capital plans, (including prudential indicators)</w:t>
      </w:r>
    </w:p>
    <w:p w14:paraId="34B8DB24" w14:textId="77777777" w:rsidR="005420FC" w:rsidRPr="004E26A2" w:rsidRDefault="005420FC" w:rsidP="0099334D">
      <w:pPr>
        <w:pStyle w:val="ListParagraph"/>
        <w:numPr>
          <w:ilvl w:val="0"/>
          <w:numId w:val="1"/>
        </w:numPr>
        <w:autoSpaceDE w:val="0"/>
        <w:autoSpaceDN w:val="0"/>
        <w:adjustRightInd w:val="0"/>
        <w:ind w:left="284" w:hanging="284"/>
        <w:rPr>
          <w:rFonts w:cs="Arial"/>
          <w:szCs w:val="24"/>
          <w:lang w:eastAsia="en-GB"/>
        </w:rPr>
      </w:pPr>
      <w:r w:rsidRPr="004E26A2">
        <w:rPr>
          <w:rFonts w:cs="Arial"/>
          <w:szCs w:val="24"/>
          <w:lang w:eastAsia="en-GB"/>
        </w:rPr>
        <w:t>a minimum revenue provision (MRP) policy, (how residual capital expenditure is charged to revenue over time)</w:t>
      </w:r>
    </w:p>
    <w:p w14:paraId="32BBC9A6" w14:textId="77777777" w:rsidR="005420FC" w:rsidRPr="004E26A2" w:rsidRDefault="005420FC" w:rsidP="0099334D">
      <w:pPr>
        <w:pStyle w:val="ListParagraph"/>
        <w:numPr>
          <w:ilvl w:val="0"/>
          <w:numId w:val="1"/>
        </w:numPr>
        <w:autoSpaceDE w:val="0"/>
        <w:autoSpaceDN w:val="0"/>
        <w:adjustRightInd w:val="0"/>
        <w:ind w:left="284" w:hanging="284"/>
        <w:rPr>
          <w:rFonts w:cs="Arial"/>
          <w:szCs w:val="24"/>
          <w:lang w:eastAsia="en-GB"/>
        </w:rPr>
      </w:pPr>
      <w:r w:rsidRPr="004E26A2">
        <w:rPr>
          <w:rFonts w:cs="Arial"/>
          <w:szCs w:val="24"/>
          <w:lang w:eastAsia="en-GB"/>
        </w:rPr>
        <w:t xml:space="preserve">the treasury management strategy, (how the investments and borrowings are to be organised), including treasury indicators; and </w:t>
      </w:r>
    </w:p>
    <w:p w14:paraId="2A3F91F2" w14:textId="7CD61D32" w:rsidR="005420FC" w:rsidRPr="00806F71" w:rsidRDefault="005420FC" w:rsidP="0099334D">
      <w:pPr>
        <w:pStyle w:val="ListParagraph"/>
        <w:numPr>
          <w:ilvl w:val="0"/>
          <w:numId w:val="1"/>
        </w:numPr>
        <w:autoSpaceDE w:val="0"/>
        <w:autoSpaceDN w:val="0"/>
        <w:adjustRightInd w:val="0"/>
        <w:ind w:left="284" w:hanging="284"/>
        <w:rPr>
          <w:rFonts w:cs="Arial"/>
          <w:szCs w:val="24"/>
          <w:lang w:eastAsia="en-GB"/>
        </w:rPr>
      </w:pPr>
      <w:r w:rsidRPr="00806F71">
        <w:rPr>
          <w:rFonts w:cs="Arial"/>
          <w:szCs w:val="24"/>
          <w:lang w:eastAsia="en-GB"/>
        </w:rPr>
        <w:t>an investment strategy, (the parameters on how investments are to be managed)</w:t>
      </w:r>
    </w:p>
    <w:p w14:paraId="00DBB5E3" w14:textId="77777777" w:rsidR="00806F71" w:rsidRPr="00806F71" w:rsidRDefault="00806F71" w:rsidP="0099334D">
      <w:pPr>
        <w:pStyle w:val="ListParagraph"/>
        <w:ind w:left="0"/>
        <w:rPr>
          <w:rFonts w:cs="Arial"/>
          <w:iCs/>
          <w:noProof/>
          <w:szCs w:val="24"/>
        </w:rPr>
      </w:pPr>
    </w:p>
    <w:p w14:paraId="54117A14" w14:textId="72D7D32B" w:rsidR="00806F71" w:rsidRPr="00806F71" w:rsidRDefault="0047091C" w:rsidP="0099334D">
      <w:pPr>
        <w:pStyle w:val="ListParagraph"/>
        <w:ind w:left="0"/>
        <w:rPr>
          <w:rFonts w:cs="Arial"/>
          <w:iCs/>
          <w:noProof/>
          <w:szCs w:val="24"/>
        </w:rPr>
      </w:pPr>
      <w:r w:rsidRPr="00806F71">
        <w:rPr>
          <w:rFonts w:cs="Arial"/>
          <w:b/>
          <w:bCs/>
          <w:iCs/>
          <w:noProof/>
          <w:szCs w:val="24"/>
        </w:rPr>
        <w:t>Mid-Year Review Report</w:t>
      </w:r>
      <w:r w:rsidR="00C65A06" w:rsidRPr="00806F71">
        <w:rPr>
          <w:rFonts w:cs="Arial"/>
          <w:iCs/>
          <w:noProof/>
          <w:szCs w:val="24"/>
        </w:rPr>
        <w:t xml:space="preserve"> </w:t>
      </w:r>
      <w:r w:rsidRPr="00806F71">
        <w:rPr>
          <w:rFonts w:cs="Arial"/>
          <w:iCs/>
          <w:noProof/>
          <w:szCs w:val="24"/>
        </w:rPr>
        <w:t>–</w:t>
      </w:r>
      <w:r w:rsidRPr="00505C3E">
        <w:rPr>
          <w:rFonts w:cs="Arial"/>
          <w:iCs/>
          <w:noProof/>
          <w:color w:val="FF0000"/>
          <w:szCs w:val="24"/>
        </w:rPr>
        <w:t xml:space="preserve"> </w:t>
      </w:r>
      <w:r w:rsidRPr="003D2230">
        <w:rPr>
          <w:rFonts w:cs="Arial"/>
          <w:iCs/>
          <w:noProof/>
          <w:szCs w:val="24"/>
        </w:rPr>
        <w:t>This is</w:t>
      </w:r>
      <w:r w:rsidR="005420FC" w:rsidRPr="003D2230">
        <w:rPr>
          <w:rFonts w:cs="Arial"/>
          <w:iCs/>
          <w:noProof/>
          <w:szCs w:val="24"/>
        </w:rPr>
        <w:t xml:space="preserve"> primarily a progress report</w:t>
      </w:r>
      <w:r w:rsidRPr="003D2230">
        <w:rPr>
          <w:rFonts w:cs="Arial"/>
          <w:iCs/>
          <w:noProof/>
          <w:szCs w:val="24"/>
        </w:rPr>
        <w:t xml:space="preserve"> presented to Cabinet in December/January</w:t>
      </w:r>
      <w:r w:rsidR="00505C3E" w:rsidRPr="003D2230">
        <w:rPr>
          <w:rFonts w:cs="Arial"/>
          <w:iCs/>
          <w:noProof/>
          <w:szCs w:val="24"/>
        </w:rPr>
        <w:t xml:space="preserve"> </w:t>
      </w:r>
      <w:r w:rsidRPr="00806F71">
        <w:rPr>
          <w:rFonts w:cs="Arial"/>
          <w:iCs/>
          <w:noProof/>
          <w:szCs w:val="24"/>
        </w:rPr>
        <w:t xml:space="preserve">and updates Members on the progress of the Capital Programme, reporting on </w:t>
      </w:r>
      <w:r w:rsidR="001D183E">
        <w:rPr>
          <w:rFonts w:cs="Arial"/>
          <w:iCs/>
          <w:noProof/>
          <w:szCs w:val="24"/>
        </w:rPr>
        <w:t>p</w:t>
      </w:r>
      <w:r w:rsidRPr="00806F71">
        <w:rPr>
          <w:rFonts w:cs="Arial"/>
          <w:iCs/>
          <w:noProof/>
          <w:szCs w:val="24"/>
        </w:rPr>
        <w:t xml:space="preserve">rudential </w:t>
      </w:r>
      <w:r w:rsidR="001D183E">
        <w:rPr>
          <w:rFonts w:cs="Arial"/>
          <w:iCs/>
          <w:noProof/>
          <w:szCs w:val="24"/>
        </w:rPr>
        <w:t>i</w:t>
      </w:r>
      <w:r w:rsidRPr="00806F71">
        <w:rPr>
          <w:rFonts w:cs="Arial"/>
          <w:iCs/>
          <w:noProof/>
          <w:szCs w:val="24"/>
        </w:rPr>
        <w:t xml:space="preserve">ndicators to give assurance that the treasury management function is operating within the </w:t>
      </w:r>
      <w:r w:rsidR="001D183E">
        <w:rPr>
          <w:rFonts w:cs="Arial"/>
          <w:iCs/>
          <w:noProof/>
          <w:szCs w:val="24"/>
        </w:rPr>
        <w:t>t</w:t>
      </w:r>
      <w:r w:rsidRPr="00806F71">
        <w:rPr>
          <w:rFonts w:cs="Arial"/>
          <w:iCs/>
          <w:noProof/>
          <w:szCs w:val="24"/>
        </w:rPr>
        <w:t xml:space="preserve">reasury </w:t>
      </w:r>
      <w:r w:rsidR="001D183E">
        <w:rPr>
          <w:rFonts w:cs="Arial"/>
          <w:iCs/>
          <w:noProof/>
          <w:szCs w:val="24"/>
        </w:rPr>
        <w:t>l</w:t>
      </w:r>
      <w:r w:rsidRPr="00806F71">
        <w:rPr>
          <w:rFonts w:cs="Arial"/>
          <w:iCs/>
          <w:noProof/>
          <w:szCs w:val="24"/>
        </w:rPr>
        <w:t xml:space="preserve">imits and </w:t>
      </w:r>
      <w:r w:rsidR="001D183E">
        <w:rPr>
          <w:rFonts w:cs="Arial"/>
          <w:iCs/>
          <w:noProof/>
          <w:szCs w:val="24"/>
        </w:rPr>
        <w:t>p</w:t>
      </w:r>
      <w:r w:rsidRPr="00806F71">
        <w:rPr>
          <w:rFonts w:cs="Arial"/>
          <w:iCs/>
          <w:noProof/>
          <w:szCs w:val="24"/>
        </w:rPr>
        <w:t xml:space="preserve">rudential </w:t>
      </w:r>
      <w:r w:rsidR="001D183E">
        <w:rPr>
          <w:rFonts w:cs="Arial"/>
          <w:iCs/>
          <w:noProof/>
          <w:szCs w:val="24"/>
        </w:rPr>
        <w:t>i</w:t>
      </w:r>
      <w:r w:rsidRPr="00806F71">
        <w:rPr>
          <w:rFonts w:cs="Arial"/>
          <w:iCs/>
          <w:noProof/>
          <w:szCs w:val="24"/>
        </w:rPr>
        <w:t>ndicators set out in the TMSS.</w:t>
      </w:r>
    </w:p>
    <w:p w14:paraId="3B883D50" w14:textId="77777777" w:rsidR="00806F71" w:rsidRPr="00806F71" w:rsidRDefault="00806F71" w:rsidP="0099334D">
      <w:pPr>
        <w:pStyle w:val="ListParagraph"/>
        <w:ind w:left="0"/>
        <w:rPr>
          <w:rFonts w:cs="Arial"/>
          <w:iCs/>
          <w:noProof/>
          <w:szCs w:val="24"/>
        </w:rPr>
      </w:pPr>
    </w:p>
    <w:p w14:paraId="584FFED7" w14:textId="6B9BFD7F" w:rsidR="00806F71" w:rsidRDefault="0047091C" w:rsidP="0099334D">
      <w:pPr>
        <w:pStyle w:val="ListParagraph"/>
        <w:ind w:left="0"/>
        <w:rPr>
          <w:rFonts w:cs="Arial"/>
          <w:iCs/>
          <w:noProof/>
          <w:szCs w:val="24"/>
        </w:rPr>
      </w:pPr>
      <w:r w:rsidRPr="00806F71">
        <w:rPr>
          <w:rFonts w:cs="Arial"/>
          <w:b/>
          <w:bCs/>
          <w:iCs/>
          <w:noProof/>
          <w:szCs w:val="24"/>
        </w:rPr>
        <w:t>Treasury Management Outturn Report</w:t>
      </w:r>
      <w:r w:rsidRPr="00806F71">
        <w:rPr>
          <w:rFonts w:cs="Arial"/>
          <w:iCs/>
          <w:noProof/>
          <w:szCs w:val="24"/>
        </w:rPr>
        <w:t xml:space="preserve"> – </w:t>
      </w:r>
      <w:r w:rsidRPr="003D2230">
        <w:rPr>
          <w:rFonts w:cs="Arial"/>
          <w:iCs/>
          <w:noProof/>
          <w:szCs w:val="24"/>
        </w:rPr>
        <w:t>This</w:t>
      </w:r>
      <w:r w:rsidR="005420FC" w:rsidRPr="003D2230">
        <w:rPr>
          <w:rFonts w:cs="Arial"/>
          <w:iCs/>
          <w:noProof/>
          <w:szCs w:val="24"/>
        </w:rPr>
        <w:t xml:space="preserve"> is a backward looking review, </w:t>
      </w:r>
      <w:r w:rsidRPr="003D2230">
        <w:rPr>
          <w:rFonts w:cs="Arial"/>
          <w:iCs/>
          <w:noProof/>
          <w:szCs w:val="24"/>
        </w:rPr>
        <w:t xml:space="preserve"> typically presented to Cabinet in June</w:t>
      </w:r>
      <w:r w:rsidR="00CB19EE" w:rsidRPr="003D2230">
        <w:rPr>
          <w:rFonts w:cs="Arial"/>
          <w:iCs/>
          <w:noProof/>
          <w:szCs w:val="24"/>
        </w:rPr>
        <w:t>/July</w:t>
      </w:r>
      <w:r w:rsidR="00505C3E" w:rsidRPr="003D2230">
        <w:rPr>
          <w:rFonts w:cs="Arial"/>
          <w:iCs/>
          <w:noProof/>
          <w:szCs w:val="24"/>
        </w:rPr>
        <w:t xml:space="preserve"> </w:t>
      </w:r>
      <w:r w:rsidRPr="00806F71">
        <w:rPr>
          <w:rFonts w:cs="Arial"/>
          <w:iCs/>
          <w:noProof/>
          <w:szCs w:val="24"/>
        </w:rPr>
        <w:t>and provides details of a selection of actual prudential and treasury indicators and actual treasury operations compared to the estimates within the TMSS</w:t>
      </w:r>
      <w:r w:rsidR="00CB19EE" w:rsidRPr="00806F71">
        <w:rPr>
          <w:rFonts w:cs="Arial"/>
          <w:iCs/>
          <w:noProof/>
          <w:szCs w:val="24"/>
        </w:rPr>
        <w:t xml:space="preserve"> and Mid-Year Reports</w:t>
      </w:r>
      <w:r w:rsidRPr="00806F71">
        <w:rPr>
          <w:rFonts w:cs="Arial"/>
          <w:iCs/>
          <w:noProof/>
          <w:szCs w:val="24"/>
        </w:rPr>
        <w:t>.</w:t>
      </w:r>
    </w:p>
    <w:p w14:paraId="0FF075D8" w14:textId="77777777" w:rsidR="00806F71" w:rsidRPr="00806F71" w:rsidRDefault="00806F71" w:rsidP="0099334D">
      <w:pPr>
        <w:pStyle w:val="ListParagraph"/>
        <w:rPr>
          <w:rFonts w:cs="Arial"/>
          <w:b/>
          <w:bCs/>
          <w:iCs/>
          <w:noProof/>
          <w:szCs w:val="24"/>
        </w:rPr>
      </w:pPr>
    </w:p>
    <w:p w14:paraId="5CCD695C" w14:textId="22F70C13" w:rsidR="005420FC" w:rsidRPr="00806F71" w:rsidRDefault="005420FC" w:rsidP="0099334D">
      <w:pPr>
        <w:pStyle w:val="ListParagraph"/>
        <w:numPr>
          <w:ilvl w:val="0"/>
          <w:numId w:val="4"/>
        </w:numPr>
        <w:tabs>
          <w:tab w:val="num" w:pos="709"/>
        </w:tabs>
        <w:ind w:left="0" w:hanging="720"/>
        <w:rPr>
          <w:rFonts w:cs="Arial"/>
          <w:iCs/>
          <w:noProof/>
          <w:szCs w:val="24"/>
        </w:rPr>
      </w:pPr>
      <w:r w:rsidRPr="00806F71">
        <w:rPr>
          <w:rFonts w:cs="Arial"/>
          <w:b/>
          <w:bCs/>
          <w:iCs/>
          <w:noProof/>
          <w:szCs w:val="24"/>
        </w:rPr>
        <w:t>Capital Strategy</w:t>
      </w:r>
      <w:r w:rsidR="008913FE" w:rsidRPr="00806F71">
        <w:rPr>
          <w:rFonts w:cs="Arial"/>
          <w:b/>
          <w:bCs/>
          <w:iCs/>
          <w:noProof/>
          <w:szCs w:val="24"/>
        </w:rPr>
        <w:t xml:space="preserve"> </w:t>
      </w:r>
      <w:r w:rsidR="008913FE" w:rsidRPr="00806F71">
        <w:rPr>
          <w:rFonts w:cs="Arial"/>
          <w:iCs/>
          <w:noProof/>
          <w:szCs w:val="24"/>
        </w:rPr>
        <w:t>– In addition to the three main treasury management reports, t</w:t>
      </w:r>
      <w:r w:rsidRPr="00806F71">
        <w:rPr>
          <w:rFonts w:cs="Arial"/>
          <w:iCs/>
          <w:noProof/>
          <w:szCs w:val="24"/>
        </w:rPr>
        <w:t xml:space="preserve">he CIPFA </w:t>
      </w:r>
      <w:r w:rsidR="00505C3E">
        <w:rPr>
          <w:rFonts w:cs="Arial"/>
          <w:iCs/>
          <w:noProof/>
          <w:szCs w:val="24"/>
        </w:rPr>
        <w:t>2021</w:t>
      </w:r>
      <w:r w:rsidRPr="00806F71">
        <w:rPr>
          <w:rFonts w:cs="Arial"/>
          <w:iCs/>
          <w:noProof/>
          <w:szCs w:val="24"/>
        </w:rPr>
        <w:t xml:space="preserve"> Prudential and Treasury Management Codes</w:t>
      </w:r>
      <w:r w:rsidR="00806F71">
        <w:rPr>
          <w:rFonts w:cs="Arial"/>
          <w:iCs/>
          <w:noProof/>
          <w:szCs w:val="24"/>
        </w:rPr>
        <w:t xml:space="preserve"> </w:t>
      </w:r>
      <w:r w:rsidR="00505C3E">
        <w:rPr>
          <w:rFonts w:cs="Arial"/>
          <w:iCs/>
          <w:noProof/>
          <w:szCs w:val="24"/>
        </w:rPr>
        <w:t>require</w:t>
      </w:r>
      <w:r w:rsidRPr="00806F71">
        <w:rPr>
          <w:rFonts w:cs="Arial"/>
          <w:iCs/>
          <w:noProof/>
          <w:szCs w:val="24"/>
        </w:rPr>
        <w:t xml:space="preserve"> all local authorities to prepare a capital strategy report which provide</w:t>
      </w:r>
      <w:r w:rsidR="00806F71">
        <w:rPr>
          <w:rFonts w:cs="Arial"/>
          <w:iCs/>
          <w:noProof/>
          <w:szCs w:val="24"/>
        </w:rPr>
        <w:t>s</w:t>
      </w:r>
      <w:r w:rsidRPr="00806F71">
        <w:rPr>
          <w:rFonts w:cs="Arial"/>
          <w:iCs/>
          <w:noProof/>
          <w:szCs w:val="24"/>
        </w:rPr>
        <w:t xml:space="preserve"> the following: </w:t>
      </w:r>
    </w:p>
    <w:p w14:paraId="4F4FC57D" w14:textId="77777777" w:rsidR="005420FC" w:rsidRPr="005420FC" w:rsidRDefault="005420FC" w:rsidP="0099334D">
      <w:pPr>
        <w:pStyle w:val="ListParagraph"/>
        <w:numPr>
          <w:ilvl w:val="0"/>
          <w:numId w:val="1"/>
        </w:numPr>
        <w:autoSpaceDE w:val="0"/>
        <w:autoSpaceDN w:val="0"/>
        <w:adjustRightInd w:val="0"/>
        <w:ind w:left="284" w:hanging="284"/>
        <w:rPr>
          <w:rFonts w:cs="Arial"/>
          <w:szCs w:val="24"/>
          <w:lang w:eastAsia="en-GB"/>
        </w:rPr>
      </w:pPr>
      <w:r w:rsidRPr="005420FC">
        <w:rPr>
          <w:rFonts w:cs="Arial"/>
          <w:szCs w:val="24"/>
          <w:lang w:eastAsia="en-GB"/>
        </w:rPr>
        <w:t xml:space="preserve">a high-level </w:t>
      </w:r>
      <w:proofErr w:type="gramStart"/>
      <w:r w:rsidRPr="005420FC">
        <w:rPr>
          <w:rFonts w:cs="Arial"/>
          <w:szCs w:val="24"/>
          <w:lang w:eastAsia="en-GB"/>
        </w:rPr>
        <w:t>long term</w:t>
      </w:r>
      <w:proofErr w:type="gramEnd"/>
      <w:r w:rsidRPr="005420FC">
        <w:rPr>
          <w:rFonts w:cs="Arial"/>
          <w:szCs w:val="24"/>
          <w:lang w:eastAsia="en-GB"/>
        </w:rPr>
        <w:t xml:space="preserve"> overview of how capital expenditure, capital financing and treasury management activity contribute to the provision of services</w:t>
      </w:r>
    </w:p>
    <w:p w14:paraId="425828CC" w14:textId="77777777" w:rsidR="005420FC" w:rsidRPr="005420FC" w:rsidRDefault="005420FC" w:rsidP="0099334D">
      <w:pPr>
        <w:pStyle w:val="ListParagraph"/>
        <w:numPr>
          <w:ilvl w:val="0"/>
          <w:numId w:val="1"/>
        </w:numPr>
        <w:autoSpaceDE w:val="0"/>
        <w:autoSpaceDN w:val="0"/>
        <w:adjustRightInd w:val="0"/>
        <w:ind w:left="284" w:hanging="284"/>
        <w:rPr>
          <w:rFonts w:cs="Arial"/>
          <w:szCs w:val="24"/>
          <w:lang w:eastAsia="en-GB"/>
        </w:rPr>
      </w:pPr>
      <w:r w:rsidRPr="005420FC">
        <w:rPr>
          <w:rFonts w:cs="Arial"/>
          <w:szCs w:val="24"/>
          <w:lang w:eastAsia="en-GB"/>
        </w:rPr>
        <w:t xml:space="preserve">an overview of how the associated risk is </w:t>
      </w:r>
      <w:proofErr w:type="gramStart"/>
      <w:r w:rsidRPr="005420FC">
        <w:rPr>
          <w:rFonts w:cs="Arial"/>
          <w:szCs w:val="24"/>
          <w:lang w:eastAsia="en-GB"/>
        </w:rPr>
        <w:t>managed</w:t>
      </w:r>
      <w:proofErr w:type="gramEnd"/>
    </w:p>
    <w:p w14:paraId="4B21F286" w14:textId="77777777" w:rsidR="005420FC" w:rsidRPr="005420FC" w:rsidRDefault="005420FC" w:rsidP="0099334D">
      <w:pPr>
        <w:pStyle w:val="ListParagraph"/>
        <w:numPr>
          <w:ilvl w:val="0"/>
          <w:numId w:val="1"/>
        </w:numPr>
        <w:autoSpaceDE w:val="0"/>
        <w:autoSpaceDN w:val="0"/>
        <w:adjustRightInd w:val="0"/>
        <w:ind w:left="284" w:hanging="284"/>
        <w:rPr>
          <w:rFonts w:cs="Arial"/>
          <w:szCs w:val="24"/>
          <w:lang w:eastAsia="en-GB"/>
        </w:rPr>
      </w:pPr>
      <w:r w:rsidRPr="005420FC">
        <w:rPr>
          <w:rFonts w:cs="Arial"/>
          <w:szCs w:val="24"/>
          <w:lang w:eastAsia="en-GB"/>
        </w:rPr>
        <w:t>the implications for future financial sustainability</w:t>
      </w:r>
    </w:p>
    <w:p w14:paraId="7061E567" w14:textId="77777777" w:rsidR="005420FC" w:rsidRPr="005420FC" w:rsidRDefault="005420FC" w:rsidP="0099334D">
      <w:pPr>
        <w:pStyle w:val="ListParagraph"/>
        <w:ind w:left="0"/>
        <w:rPr>
          <w:rFonts w:cs="Arial"/>
          <w:iCs/>
          <w:noProof/>
          <w:szCs w:val="24"/>
        </w:rPr>
      </w:pPr>
    </w:p>
    <w:p w14:paraId="47B529A9" w14:textId="236FB63B" w:rsidR="0047091C" w:rsidRPr="007120DD" w:rsidRDefault="005420FC" w:rsidP="0099334D">
      <w:pPr>
        <w:pStyle w:val="ListParagraph"/>
        <w:numPr>
          <w:ilvl w:val="0"/>
          <w:numId w:val="4"/>
        </w:numPr>
        <w:tabs>
          <w:tab w:val="num" w:pos="709"/>
        </w:tabs>
        <w:ind w:left="0" w:hanging="720"/>
        <w:rPr>
          <w:rFonts w:cs="Arial"/>
          <w:bCs/>
          <w:szCs w:val="24"/>
        </w:rPr>
      </w:pPr>
      <w:r w:rsidRPr="007120DD">
        <w:rPr>
          <w:rFonts w:cs="Arial"/>
          <w:bCs/>
          <w:szCs w:val="24"/>
        </w:rPr>
        <w:t>The aim of th</w:t>
      </w:r>
      <w:r w:rsidR="003D0E4C" w:rsidRPr="007120DD">
        <w:rPr>
          <w:rFonts w:cs="Arial"/>
          <w:bCs/>
          <w:szCs w:val="24"/>
        </w:rPr>
        <w:t>e</w:t>
      </w:r>
      <w:r w:rsidRPr="007120DD">
        <w:rPr>
          <w:rFonts w:cs="Arial"/>
          <w:bCs/>
          <w:szCs w:val="24"/>
        </w:rPr>
        <w:t xml:space="preserve"> </w:t>
      </w:r>
      <w:r w:rsidR="008913FE" w:rsidRPr="007120DD">
        <w:rPr>
          <w:rFonts w:cs="Arial"/>
          <w:bCs/>
          <w:szCs w:val="24"/>
        </w:rPr>
        <w:t>C</w:t>
      </w:r>
      <w:r w:rsidRPr="007120DD">
        <w:rPr>
          <w:rFonts w:cs="Arial"/>
          <w:bCs/>
          <w:szCs w:val="24"/>
        </w:rPr>
        <w:t xml:space="preserve">apital </w:t>
      </w:r>
      <w:r w:rsidR="008913FE" w:rsidRPr="007120DD">
        <w:rPr>
          <w:rFonts w:cs="Arial"/>
          <w:bCs/>
          <w:szCs w:val="24"/>
        </w:rPr>
        <w:t>S</w:t>
      </w:r>
      <w:r w:rsidRPr="007120DD">
        <w:rPr>
          <w:rFonts w:cs="Arial"/>
          <w:bCs/>
          <w:szCs w:val="24"/>
        </w:rPr>
        <w:t xml:space="preserve">trategy is to ensure that all elected members on the full </w:t>
      </w:r>
      <w:r w:rsidR="008913FE" w:rsidRPr="007120DD">
        <w:rPr>
          <w:rFonts w:cs="Arial"/>
          <w:bCs/>
          <w:szCs w:val="24"/>
        </w:rPr>
        <w:t>C</w:t>
      </w:r>
      <w:r w:rsidRPr="007120DD">
        <w:rPr>
          <w:rFonts w:cs="Arial"/>
          <w:bCs/>
          <w:szCs w:val="24"/>
        </w:rPr>
        <w:t xml:space="preserve">ouncil fully understand the overall long-term policy objectives and resulting capital strategy requirements, governance procedures and risk appetite. The Capital Strategy Report is set out in </w:t>
      </w:r>
      <w:r w:rsidRPr="00CB090A">
        <w:rPr>
          <w:rFonts w:cs="Arial"/>
          <w:bCs/>
          <w:szCs w:val="24"/>
        </w:rPr>
        <w:t>Appendix G.</w:t>
      </w:r>
      <w:r w:rsidR="008913FE" w:rsidRPr="007120DD">
        <w:rPr>
          <w:rFonts w:cs="Arial"/>
          <w:bCs/>
          <w:szCs w:val="24"/>
        </w:rPr>
        <w:t xml:space="preserve">  </w:t>
      </w:r>
    </w:p>
    <w:p w14:paraId="7CC8B383" w14:textId="77777777" w:rsidR="003D0E4C" w:rsidRPr="003D0E4C" w:rsidRDefault="003D0E4C" w:rsidP="0099334D">
      <w:pPr>
        <w:pStyle w:val="ListParagraph"/>
        <w:ind w:left="0"/>
        <w:rPr>
          <w:rFonts w:cs="Arial"/>
          <w:bCs/>
          <w:szCs w:val="24"/>
        </w:rPr>
      </w:pPr>
    </w:p>
    <w:p w14:paraId="0C0C037A" w14:textId="74965C29" w:rsidR="0047091C" w:rsidRPr="003D0E4C" w:rsidRDefault="0047091C" w:rsidP="0099334D">
      <w:pPr>
        <w:pStyle w:val="ListParagraph"/>
        <w:numPr>
          <w:ilvl w:val="0"/>
          <w:numId w:val="4"/>
        </w:numPr>
        <w:tabs>
          <w:tab w:val="num" w:pos="709"/>
        </w:tabs>
        <w:ind w:left="0" w:hanging="720"/>
        <w:rPr>
          <w:rFonts w:cs="Arial"/>
          <w:bCs/>
          <w:szCs w:val="24"/>
        </w:rPr>
      </w:pPr>
      <w:r w:rsidRPr="003D0E4C">
        <w:rPr>
          <w:rFonts w:cs="Arial"/>
          <w:b/>
          <w:szCs w:val="24"/>
        </w:rPr>
        <w:t>Scrutiny</w:t>
      </w:r>
      <w:r w:rsidR="00C65A06" w:rsidRPr="003D0E4C">
        <w:rPr>
          <w:rFonts w:cs="Arial"/>
          <w:b/>
          <w:szCs w:val="24"/>
        </w:rPr>
        <w:t xml:space="preserve"> </w:t>
      </w:r>
      <w:r w:rsidR="00C65A06" w:rsidRPr="003D0E4C">
        <w:rPr>
          <w:rFonts w:cs="Arial"/>
          <w:bCs/>
          <w:szCs w:val="24"/>
        </w:rPr>
        <w:t xml:space="preserve">– </w:t>
      </w:r>
      <w:r w:rsidRPr="003D0E4C">
        <w:rPr>
          <w:rFonts w:cs="Arial"/>
          <w:bCs/>
          <w:szCs w:val="24"/>
        </w:rPr>
        <w:t xml:space="preserve">The above reports are required to be adequately scrutinised, normally before being recommended to Cabinet/Council, with the role being </w:t>
      </w:r>
      <w:r w:rsidRPr="003D0E4C">
        <w:rPr>
          <w:rFonts w:cs="Arial"/>
          <w:bCs/>
          <w:szCs w:val="24"/>
        </w:rPr>
        <w:lastRenderedPageBreak/>
        <w:t xml:space="preserve">undertaken by the Governance, Audit, Risk Management and Standards Committee (GARMS).  The Council has complied with the CIPFA Treasury Management Code of Practice to the extent that all Treasury Management reports have been scrutinised though the efficient conduct of the Council’s business may require consideration by GARMS </w:t>
      </w:r>
      <w:r w:rsidR="00D82559" w:rsidRPr="003D0E4C">
        <w:rPr>
          <w:rFonts w:cs="Arial"/>
          <w:bCs/>
          <w:szCs w:val="24"/>
        </w:rPr>
        <w:t>after</w:t>
      </w:r>
      <w:r w:rsidRPr="003D0E4C">
        <w:rPr>
          <w:rFonts w:cs="Arial"/>
          <w:bCs/>
          <w:szCs w:val="24"/>
        </w:rPr>
        <w:t xml:space="preserve"> </w:t>
      </w:r>
      <w:r w:rsidR="00D82559">
        <w:rPr>
          <w:rFonts w:cs="Arial"/>
          <w:bCs/>
          <w:szCs w:val="24"/>
        </w:rPr>
        <w:t>being reviewed</w:t>
      </w:r>
      <w:r w:rsidRPr="003D0E4C">
        <w:rPr>
          <w:rFonts w:cs="Arial"/>
          <w:bCs/>
          <w:szCs w:val="24"/>
        </w:rPr>
        <w:t xml:space="preserve"> by Cabinet/Council. </w:t>
      </w:r>
    </w:p>
    <w:p w14:paraId="76300227" w14:textId="2ACF9119" w:rsidR="0047091C" w:rsidRPr="003D0E4C" w:rsidRDefault="0047091C" w:rsidP="0099334D">
      <w:pPr>
        <w:pStyle w:val="ListParagraph"/>
        <w:ind w:left="0"/>
        <w:rPr>
          <w:rFonts w:cs="Arial"/>
          <w:bCs/>
          <w:szCs w:val="24"/>
        </w:rPr>
      </w:pPr>
    </w:p>
    <w:p w14:paraId="624D582A" w14:textId="380A05F9" w:rsidR="0047091C" w:rsidRDefault="0047091C" w:rsidP="0099334D">
      <w:pPr>
        <w:pStyle w:val="ListParagraph"/>
        <w:numPr>
          <w:ilvl w:val="0"/>
          <w:numId w:val="4"/>
        </w:numPr>
        <w:tabs>
          <w:tab w:val="num" w:pos="709"/>
        </w:tabs>
        <w:ind w:left="0" w:hanging="720"/>
        <w:rPr>
          <w:rFonts w:cs="Arial"/>
          <w:bCs/>
          <w:szCs w:val="24"/>
        </w:rPr>
      </w:pPr>
      <w:r w:rsidRPr="003D0E4C">
        <w:rPr>
          <w:rFonts w:cs="Arial"/>
          <w:bCs/>
          <w:szCs w:val="24"/>
        </w:rPr>
        <w:t>The Council has delegated responsibility for the implementation and regular monitoring of its treasury management policies and practices to the Section 151 Officer. The Section 151 Officer chairs the Treasury Management Group (TMG), which monitors the treasury management activity and market conditions monthly.</w:t>
      </w:r>
      <w:r w:rsidR="008913FE" w:rsidRPr="003D0E4C">
        <w:rPr>
          <w:rFonts w:cs="Arial"/>
          <w:bCs/>
          <w:szCs w:val="24"/>
        </w:rPr>
        <w:t xml:space="preserve"> </w:t>
      </w:r>
      <w:r w:rsidR="008913FE" w:rsidRPr="007120DD">
        <w:rPr>
          <w:rFonts w:cs="Arial"/>
          <w:bCs/>
          <w:szCs w:val="24"/>
        </w:rPr>
        <w:t xml:space="preserve">Further details of delegated responsibilities are given in </w:t>
      </w:r>
      <w:r w:rsidR="008913FE" w:rsidRPr="00CB090A">
        <w:rPr>
          <w:rFonts w:cs="Arial"/>
          <w:bCs/>
          <w:szCs w:val="24"/>
        </w:rPr>
        <w:t>Appendix B.</w:t>
      </w:r>
      <w:r w:rsidR="008913FE" w:rsidRPr="003D0E4C">
        <w:rPr>
          <w:rFonts w:cs="Arial"/>
          <w:bCs/>
          <w:szCs w:val="24"/>
        </w:rPr>
        <w:t xml:space="preserve"> </w:t>
      </w:r>
    </w:p>
    <w:p w14:paraId="0BD22A2D" w14:textId="77777777" w:rsidR="00E65BA1" w:rsidRPr="00E65BA1" w:rsidRDefault="00E65BA1" w:rsidP="0099334D">
      <w:pPr>
        <w:pStyle w:val="ListParagraph"/>
        <w:rPr>
          <w:rFonts w:cs="Arial"/>
          <w:bCs/>
          <w:szCs w:val="24"/>
        </w:rPr>
      </w:pPr>
    </w:p>
    <w:p w14:paraId="7393E557" w14:textId="5D2DD751" w:rsidR="00E65BA1" w:rsidRPr="00CB090A" w:rsidRDefault="00E65BA1" w:rsidP="0099334D">
      <w:pPr>
        <w:pStyle w:val="ListParagraph"/>
        <w:numPr>
          <w:ilvl w:val="0"/>
          <w:numId w:val="4"/>
        </w:numPr>
        <w:tabs>
          <w:tab w:val="num" w:pos="709"/>
        </w:tabs>
        <w:ind w:left="0" w:hanging="720"/>
        <w:rPr>
          <w:rFonts w:cs="Arial"/>
          <w:bCs/>
          <w:szCs w:val="24"/>
        </w:rPr>
      </w:pPr>
      <w:r w:rsidRPr="00CB090A">
        <w:rPr>
          <w:rFonts w:cs="Arial"/>
          <w:bCs/>
          <w:szCs w:val="24"/>
        </w:rPr>
        <w:t xml:space="preserve">The Section 151 Officer is required to establish procedures to monitor and report performance against Prudential Indicators </w:t>
      </w:r>
      <w:r w:rsidR="007B5193" w:rsidRPr="00CB090A">
        <w:rPr>
          <w:rFonts w:cs="Arial"/>
          <w:bCs/>
          <w:szCs w:val="24"/>
        </w:rPr>
        <w:t xml:space="preserve">at least quarterly as part of the Authority’s integrated revenue, </w:t>
      </w:r>
      <w:proofErr w:type="gramStart"/>
      <w:r w:rsidR="007B5193" w:rsidRPr="00CB090A">
        <w:rPr>
          <w:rFonts w:cs="Arial"/>
          <w:bCs/>
          <w:szCs w:val="24"/>
        </w:rPr>
        <w:t>capital</w:t>
      </w:r>
      <w:proofErr w:type="gramEnd"/>
      <w:r w:rsidR="007B5193" w:rsidRPr="00CB090A">
        <w:rPr>
          <w:rFonts w:cs="Arial"/>
          <w:bCs/>
          <w:szCs w:val="24"/>
        </w:rPr>
        <w:t xml:space="preserve"> and balance sheet monitoring.</w:t>
      </w:r>
    </w:p>
    <w:p w14:paraId="079F3647" w14:textId="77777777" w:rsidR="00EC70C6" w:rsidRPr="003D0E4C" w:rsidRDefault="00EC70C6" w:rsidP="0099334D">
      <w:pPr>
        <w:pStyle w:val="ListParagraph"/>
        <w:ind w:left="0"/>
        <w:rPr>
          <w:rFonts w:cs="Arial"/>
          <w:bCs/>
          <w:szCs w:val="24"/>
        </w:rPr>
      </w:pPr>
    </w:p>
    <w:p w14:paraId="4AAB7DF5" w14:textId="5B850FF7" w:rsidR="00610C63" w:rsidRPr="00071FC1" w:rsidRDefault="00610C63" w:rsidP="0099334D">
      <w:pPr>
        <w:pStyle w:val="ListParagraph"/>
        <w:tabs>
          <w:tab w:val="left" w:pos="0"/>
        </w:tabs>
        <w:ind w:left="0"/>
        <w:rPr>
          <w:rFonts w:cs="Arial"/>
          <w:b/>
          <w:bCs/>
          <w:sz w:val="32"/>
          <w:szCs w:val="32"/>
        </w:rPr>
      </w:pPr>
      <w:r w:rsidRPr="00071FC1">
        <w:rPr>
          <w:rFonts w:cs="Arial"/>
          <w:b/>
          <w:bCs/>
          <w:sz w:val="28"/>
          <w:szCs w:val="28"/>
        </w:rPr>
        <w:t xml:space="preserve">Options </w:t>
      </w:r>
      <w:proofErr w:type="gramStart"/>
      <w:r w:rsidRPr="00071FC1">
        <w:rPr>
          <w:rFonts w:cs="Arial"/>
          <w:b/>
          <w:bCs/>
          <w:sz w:val="28"/>
          <w:szCs w:val="28"/>
        </w:rPr>
        <w:t>considered</w:t>
      </w:r>
      <w:proofErr w:type="gramEnd"/>
      <w:r w:rsidRPr="00071FC1">
        <w:rPr>
          <w:rFonts w:cs="Arial"/>
          <w:b/>
          <w:bCs/>
          <w:sz w:val="28"/>
          <w:szCs w:val="28"/>
        </w:rPr>
        <w:t xml:space="preserve">  </w:t>
      </w:r>
    </w:p>
    <w:p w14:paraId="300C0588" w14:textId="77777777" w:rsidR="00610C63" w:rsidRPr="00F8640F" w:rsidRDefault="00610C63" w:rsidP="0099334D">
      <w:pPr>
        <w:tabs>
          <w:tab w:val="left" w:pos="567"/>
        </w:tabs>
        <w:rPr>
          <w:rFonts w:cs="Arial"/>
          <w:szCs w:val="24"/>
        </w:rPr>
      </w:pPr>
    </w:p>
    <w:p w14:paraId="255EA976" w14:textId="18839E70" w:rsidR="00EC70C6" w:rsidRPr="00796A26" w:rsidRDefault="00610C63" w:rsidP="0099334D">
      <w:pPr>
        <w:pStyle w:val="ListParagraph"/>
        <w:numPr>
          <w:ilvl w:val="0"/>
          <w:numId w:val="4"/>
        </w:numPr>
        <w:tabs>
          <w:tab w:val="num" w:pos="709"/>
        </w:tabs>
        <w:ind w:left="0" w:hanging="720"/>
        <w:rPr>
          <w:rFonts w:cs="Arial"/>
          <w:bCs/>
          <w:szCs w:val="24"/>
        </w:rPr>
      </w:pPr>
      <w:r w:rsidRPr="00796A26">
        <w:rPr>
          <w:rFonts w:cs="Arial"/>
          <w:bCs/>
          <w:szCs w:val="24"/>
        </w:rPr>
        <w:t>Th</w:t>
      </w:r>
      <w:r w:rsidR="00F8640F" w:rsidRPr="00796A26">
        <w:rPr>
          <w:rFonts w:cs="Arial"/>
          <w:bCs/>
          <w:szCs w:val="24"/>
        </w:rPr>
        <w:t>is</w:t>
      </w:r>
      <w:r w:rsidRPr="00796A26">
        <w:rPr>
          <w:rFonts w:cs="Arial"/>
          <w:bCs/>
          <w:szCs w:val="24"/>
        </w:rPr>
        <w:t xml:space="preserve"> report</w:t>
      </w:r>
      <w:r w:rsidR="00F8640F" w:rsidRPr="00796A26">
        <w:rPr>
          <w:rFonts w:cs="Arial"/>
          <w:bCs/>
          <w:szCs w:val="24"/>
        </w:rPr>
        <w:t xml:space="preserve"> has been produced </w:t>
      </w:r>
      <w:r w:rsidRPr="00796A26">
        <w:rPr>
          <w:rFonts w:cs="Arial"/>
          <w:bCs/>
          <w:szCs w:val="24"/>
        </w:rPr>
        <w:t>in accordance with</w:t>
      </w:r>
      <w:r w:rsidR="00D605ED" w:rsidRPr="00796A26">
        <w:rPr>
          <w:rFonts w:cs="Arial"/>
          <w:bCs/>
          <w:szCs w:val="24"/>
        </w:rPr>
        <w:t xml:space="preserve"> the Local Government Act 2003 and the</w:t>
      </w:r>
      <w:r w:rsidRPr="00796A26">
        <w:rPr>
          <w:rFonts w:cs="Arial"/>
          <w:bCs/>
          <w:szCs w:val="24"/>
        </w:rPr>
        <w:t xml:space="preserve"> reporting requirements of</w:t>
      </w:r>
      <w:r w:rsidR="00EC70C6" w:rsidRPr="00796A26">
        <w:rPr>
          <w:rFonts w:cs="Arial"/>
          <w:bCs/>
          <w:szCs w:val="24"/>
        </w:rPr>
        <w:t>:</w:t>
      </w:r>
    </w:p>
    <w:p w14:paraId="1CA5FDAC" w14:textId="2ACC6D79" w:rsidR="00EC70C6" w:rsidRPr="00796A26" w:rsidRDefault="00610C63" w:rsidP="0099334D">
      <w:pPr>
        <w:pStyle w:val="ListParagraph"/>
        <w:numPr>
          <w:ilvl w:val="0"/>
          <w:numId w:val="1"/>
        </w:numPr>
        <w:autoSpaceDE w:val="0"/>
        <w:autoSpaceDN w:val="0"/>
        <w:adjustRightInd w:val="0"/>
        <w:ind w:left="284" w:hanging="284"/>
        <w:rPr>
          <w:rFonts w:cs="Arial"/>
          <w:szCs w:val="24"/>
          <w:lang w:eastAsia="en-GB"/>
        </w:rPr>
      </w:pPr>
      <w:r w:rsidRPr="00796A26">
        <w:rPr>
          <w:rFonts w:cs="Arial"/>
          <w:szCs w:val="24"/>
          <w:lang w:eastAsia="en-GB"/>
        </w:rPr>
        <w:t>CIPFA Treasury Management Code of Practice</w:t>
      </w:r>
      <w:r w:rsidR="00EC70C6" w:rsidRPr="00796A26">
        <w:rPr>
          <w:rFonts w:cs="Arial"/>
          <w:szCs w:val="24"/>
          <w:lang w:eastAsia="en-GB"/>
        </w:rPr>
        <w:t xml:space="preserve"> 20</w:t>
      </w:r>
      <w:r w:rsidR="007B5193">
        <w:rPr>
          <w:rFonts w:cs="Arial"/>
          <w:szCs w:val="24"/>
          <w:lang w:eastAsia="en-GB"/>
        </w:rPr>
        <w:t>21</w:t>
      </w:r>
      <w:r w:rsidR="00EC70C6" w:rsidRPr="00796A26">
        <w:rPr>
          <w:rFonts w:cs="Arial"/>
          <w:szCs w:val="24"/>
          <w:lang w:eastAsia="en-GB"/>
        </w:rPr>
        <w:t xml:space="preserve"> </w:t>
      </w:r>
    </w:p>
    <w:p w14:paraId="583D10F7" w14:textId="35714002" w:rsidR="00610C63" w:rsidRPr="00796A26" w:rsidRDefault="00EC70C6" w:rsidP="0099334D">
      <w:pPr>
        <w:pStyle w:val="ListParagraph"/>
        <w:numPr>
          <w:ilvl w:val="0"/>
          <w:numId w:val="1"/>
        </w:numPr>
        <w:autoSpaceDE w:val="0"/>
        <w:autoSpaceDN w:val="0"/>
        <w:adjustRightInd w:val="0"/>
        <w:ind w:left="284" w:hanging="284"/>
        <w:rPr>
          <w:rFonts w:cs="Arial"/>
          <w:szCs w:val="24"/>
          <w:lang w:eastAsia="en-GB"/>
        </w:rPr>
      </w:pPr>
      <w:r w:rsidRPr="00796A26">
        <w:rPr>
          <w:rFonts w:cs="Arial"/>
          <w:szCs w:val="24"/>
          <w:lang w:eastAsia="en-GB"/>
        </w:rPr>
        <w:t>CIPFA Prudential Code 20</w:t>
      </w:r>
      <w:r w:rsidR="007B5193">
        <w:rPr>
          <w:rFonts w:cs="Arial"/>
          <w:szCs w:val="24"/>
          <w:lang w:eastAsia="en-GB"/>
        </w:rPr>
        <w:t>21</w:t>
      </w:r>
    </w:p>
    <w:p w14:paraId="4E231DAC" w14:textId="70488E49" w:rsidR="00EC70C6" w:rsidRPr="00796A26" w:rsidRDefault="00EC70C6" w:rsidP="0099334D">
      <w:pPr>
        <w:pStyle w:val="ListParagraph"/>
        <w:numPr>
          <w:ilvl w:val="0"/>
          <w:numId w:val="1"/>
        </w:numPr>
        <w:autoSpaceDE w:val="0"/>
        <w:autoSpaceDN w:val="0"/>
        <w:adjustRightInd w:val="0"/>
        <w:ind w:left="284" w:hanging="284"/>
        <w:rPr>
          <w:rFonts w:cs="Arial"/>
          <w:szCs w:val="24"/>
          <w:lang w:eastAsia="en-GB"/>
        </w:rPr>
      </w:pPr>
      <w:r w:rsidRPr="00796A26">
        <w:rPr>
          <w:rFonts w:cs="Arial"/>
          <w:szCs w:val="24"/>
          <w:lang w:eastAsia="en-GB"/>
        </w:rPr>
        <w:t>DLUHC Investment Guidance 2018</w:t>
      </w:r>
    </w:p>
    <w:p w14:paraId="2A877F4E" w14:textId="56691E01" w:rsidR="00EC70C6" w:rsidRPr="00796A26" w:rsidRDefault="00EC70C6" w:rsidP="0099334D">
      <w:pPr>
        <w:pStyle w:val="ListParagraph"/>
        <w:numPr>
          <w:ilvl w:val="0"/>
          <w:numId w:val="1"/>
        </w:numPr>
        <w:autoSpaceDE w:val="0"/>
        <w:autoSpaceDN w:val="0"/>
        <w:adjustRightInd w:val="0"/>
        <w:ind w:left="284" w:hanging="284"/>
        <w:rPr>
          <w:rFonts w:cs="Arial"/>
          <w:szCs w:val="24"/>
          <w:lang w:eastAsia="en-GB"/>
        </w:rPr>
      </w:pPr>
      <w:r w:rsidRPr="00796A26">
        <w:rPr>
          <w:rFonts w:cs="Arial"/>
          <w:szCs w:val="24"/>
          <w:lang w:eastAsia="en-GB"/>
        </w:rPr>
        <w:t>DLUHC MRP Guidance 2018</w:t>
      </w:r>
    </w:p>
    <w:p w14:paraId="742129BD" w14:textId="77777777" w:rsidR="00F8640F" w:rsidRDefault="00F8640F" w:rsidP="0099334D">
      <w:pPr>
        <w:pStyle w:val="Heading2"/>
        <w:rPr>
          <w:rFonts w:ascii="Arial" w:hAnsi="Arial"/>
          <w:color w:val="0000FF"/>
          <w:sz w:val="28"/>
          <w:szCs w:val="28"/>
        </w:rPr>
      </w:pPr>
    </w:p>
    <w:p w14:paraId="5964C004" w14:textId="26DAC15D" w:rsidR="0098041F" w:rsidRPr="003D6E2F" w:rsidRDefault="0098041F" w:rsidP="0099334D">
      <w:pPr>
        <w:pStyle w:val="Heading2"/>
        <w:rPr>
          <w:rFonts w:ascii="Arial" w:hAnsi="Arial"/>
          <w:sz w:val="28"/>
          <w:szCs w:val="28"/>
        </w:rPr>
      </w:pPr>
      <w:r w:rsidRPr="003D6E2F">
        <w:rPr>
          <w:rFonts w:ascii="Arial" w:hAnsi="Arial"/>
          <w:sz w:val="28"/>
          <w:szCs w:val="28"/>
        </w:rPr>
        <w:t>Treasury Management Strategy for 202</w:t>
      </w:r>
      <w:r w:rsidR="00E97AC8">
        <w:rPr>
          <w:rFonts w:ascii="Arial" w:hAnsi="Arial"/>
          <w:sz w:val="28"/>
          <w:szCs w:val="28"/>
        </w:rPr>
        <w:t>4/25</w:t>
      </w:r>
    </w:p>
    <w:p w14:paraId="29519FC4" w14:textId="3B6ADDEC" w:rsidR="0098041F" w:rsidRDefault="0098041F" w:rsidP="0099334D"/>
    <w:p w14:paraId="64E44E02" w14:textId="1E74ECFC" w:rsidR="0098041F" w:rsidRPr="00251E70" w:rsidRDefault="0098041F" w:rsidP="0099334D">
      <w:pPr>
        <w:pStyle w:val="ListParagraph"/>
        <w:numPr>
          <w:ilvl w:val="0"/>
          <w:numId w:val="4"/>
        </w:numPr>
        <w:tabs>
          <w:tab w:val="num" w:pos="709"/>
        </w:tabs>
        <w:ind w:left="0" w:hanging="720"/>
        <w:rPr>
          <w:rFonts w:cs="Arial"/>
          <w:bCs/>
          <w:szCs w:val="24"/>
        </w:rPr>
      </w:pPr>
      <w:r w:rsidRPr="00251E70">
        <w:rPr>
          <w:rFonts w:cs="Arial"/>
          <w:bCs/>
          <w:szCs w:val="24"/>
        </w:rPr>
        <w:t>The strategy for 202</w:t>
      </w:r>
      <w:r w:rsidR="00E97AC8">
        <w:rPr>
          <w:rFonts w:cs="Arial"/>
          <w:bCs/>
          <w:szCs w:val="24"/>
        </w:rPr>
        <w:t>4/25</w:t>
      </w:r>
      <w:r w:rsidRPr="00251E70">
        <w:rPr>
          <w:rFonts w:cs="Arial"/>
          <w:bCs/>
          <w:szCs w:val="24"/>
        </w:rPr>
        <w:t xml:space="preserve"> covers the following areas:</w:t>
      </w:r>
    </w:p>
    <w:p w14:paraId="25917E11" w14:textId="77777777" w:rsidR="0098041F" w:rsidRPr="00803FAA" w:rsidRDefault="0098041F" w:rsidP="0099334D">
      <w:pPr>
        <w:pStyle w:val="BodyText"/>
        <w:rPr>
          <w:sz w:val="22"/>
          <w:szCs w:val="22"/>
        </w:rPr>
      </w:pPr>
    </w:p>
    <w:p w14:paraId="599E15C3" w14:textId="41E2B8CE" w:rsidR="0098041F" w:rsidRPr="00723232" w:rsidRDefault="0098041F" w:rsidP="0099334D">
      <w:pPr>
        <w:spacing w:before="45" w:after="45"/>
        <w:rPr>
          <w:rFonts w:cs="Arial"/>
          <w:b/>
          <w:szCs w:val="24"/>
        </w:rPr>
      </w:pPr>
      <w:r w:rsidRPr="007120DD">
        <w:rPr>
          <w:rFonts w:cs="Arial"/>
          <w:b/>
          <w:szCs w:val="24"/>
        </w:rPr>
        <w:t xml:space="preserve">Capital Issues (Section </w:t>
      </w:r>
      <w:r w:rsidR="00251E70" w:rsidRPr="007120DD">
        <w:rPr>
          <w:rFonts w:cs="Arial"/>
          <w:b/>
          <w:szCs w:val="24"/>
        </w:rPr>
        <w:t>2</w:t>
      </w:r>
      <w:r w:rsidRPr="007120DD">
        <w:rPr>
          <w:rFonts w:cs="Arial"/>
          <w:b/>
          <w:szCs w:val="24"/>
        </w:rPr>
        <w:t>)</w:t>
      </w:r>
      <w:r w:rsidRPr="00723232">
        <w:rPr>
          <w:rFonts w:cs="Arial"/>
          <w:b/>
          <w:szCs w:val="24"/>
        </w:rPr>
        <w:t xml:space="preserve"> </w:t>
      </w:r>
    </w:p>
    <w:p w14:paraId="20B5AD89" w14:textId="77777777" w:rsidR="0098041F" w:rsidRPr="00723232" w:rsidRDefault="0098041F" w:rsidP="0099334D">
      <w:pPr>
        <w:pStyle w:val="ListParagraph"/>
        <w:numPr>
          <w:ilvl w:val="0"/>
          <w:numId w:val="1"/>
        </w:numPr>
        <w:autoSpaceDE w:val="0"/>
        <w:autoSpaceDN w:val="0"/>
        <w:adjustRightInd w:val="0"/>
        <w:ind w:left="284" w:hanging="284"/>
        <w:rPr>
          <w:rFonts w:cs="Arial"/>
          <w:szCs w:val="24"/>
          <w:lang w:eastAsia="en-GB"/>
        </w:rPr>
      </w:pPr>
      <w:r w:rsidRPr="00723232">
        <w:rPr>
          <w:rFonts w:cs="Arial"/>
          <w:szCs w:val="24"/>
          <w:lang w:eastAsia="en-GB"/>
        </w:rPr>
        <w:t xml:space="preserve">Capital Financing Summary  </w:t>
      </w:r>
    </w:p>
    <w:p w14:paraId="74CF367C" w14:textId="38C1D0AF" w:rsidR="0098041F" w:rsidRPr="00723232" w:rsidRDefault="0098041F" w:rsidP="0099334D">
      <w:pPr>
        <w:pStyle w:val="ListParagraph"/>
        <w:numPr>
          <w:ilvl w:val="0"/>
          <w:numId w:val="1"/>
        </w:numPr>
        <w:autoSpaceDE w:val="0"/>
        <w:autoSpaceDN w:val="0"/>
        <w:adjustRightInd w:val="0"/>
        <w:ind w:left="284" w:hanging="284"/>
        <w:rPr>
          <w:rFonts w:cs="Arial"/>
          <w:szCs w:val="24"/>
          <w:lang w:eastAsia="en-GB"/>
        </w:rPr>
      </w:pPr>
      <w:r w:rsidRPr="00723232">
        <w:rPr>
          <w:rFonts w:cs="Arial"/>
          <w:szCs w:val="24"/>
          <w:lang w:eastAsia="en-GB"/>
        </w:rPr>
        <w:t>Capital Programme and Capital Prudential Indicators 20</w:t>
      </w:r>
      <w:r w:rsidR="00D605ED">
        <w:rPr>
          <w:rFonts w:cs="Arial"/>
          <w:szCs w:val="24"/>
          <w:lang w:eastAsia="en-GB"/>
        </w:rPr>
        <w:t>2</w:t>
      </w:r>
      <w:r w:rsidR="003D2230">
        <w:rPr>
          <w:rFonts w:cs="Arial"/>
          <w:szCs w:val="24"/>
          <w:lang w:eastAsia="en-GB"/>
        </w:rPr>
        <w:t>4</w:t>
      </w:r>
      <w:r>
        <w:rPr>
          <w:rFonts w:cs="Arial"/>
          <w:szCs w:val="24"/>
          <w:lang w:eastAsia="en-GB"/>
        </w:rPr>
        <w:t>/2</w:t>
      </w:r>
      <w:r w:rsidR="003D2230">
        <w:rPr>
          <w:rFonts w:cs="Arial"/>
          <w:szCs w:val="24"/>
          <w:lang w:eastAsia="en-GB"/>
        </w:rPr>
        <w:t>5</w:t>
      </w:r>
      <w:r w:rsidRPr="00723232">
        <w:rPr>
          <w:rFonts w:cs="Arial"/>
          <w:szCs w:val="24"/>
          <w:lang w:eastAsia="en-GB"/>
        </w:rPr>
        <w:t xml:space="preserve"> to 202</w:t>
      </w:r>
      <w:r w:rsidR="003D2230">
        <w:rPr>
          <w:rFonts w:cs="Arial"/>
          <w:szCs w:val="24"/>
          <w:lang w:eastAsia="en-GB"/>
        </w:rPr>
        <w:t>6</w:t>
      </w:r>
      <w:r w:rsidRPr="00723232">
        <w:rPr>
          <w:rFonts w:cs="Arial"/>
          <w:szCs w:val="24"/>
          <w:lang w:eastAsia="en-GB"/>
        </w:rPr>
        <w:t>/2</w:t>
      </w:r>
      <w:r w:rsidR="003D2230">
        <w:rPr>
          <w:rFonts w:cs="Arial"/>
          <w:szCs w:val="24"/>
          <w:lang w:eastAsia="en-GB"/>
        </w:rPr>
        <w:t>7</w:t>
      </w:r>
    </w:p>
    <w:p w14:paraId="4C6A2B75" w14:textId="77777777" w:rsidR="0098041F" w:rsidRPr="00723232" w:rsidRDefault="0098041F" w:rsidP="0099334D">
      <w:pPr>
        <w:pStyle w:val="ListParagraph"/>
        <w:numPr>
          <w:ilvl w:val="0"/>
          <w:numId w:val="1"/>
        </w:numPr>
        <w:autoSpaceDE w:val="0"/>
        <w:autoSpaceDN w:val="0"/>
        <w:adjustRightInd w:val="0"/>
        <w:ind w:left="284" w:hanging="284"/>
        <w:rPr>
          <w:rFonts w:cs="Arial"/>
          <w:szCs w:val="24"/>
          <w:lang w:eastAsia="en-GB"/>
        </w:rPr>
      </w:pPr>
      <w:r w:rsidRPr="00723232">
        <w:rPr>
          <w:rFonts w:cs="Arial"/>
          <w:szCs w:val="24"/>
          <w:lang w:eastAsia="en-GB"/>
        </w:rPr>
        <w:t xml:space="preserve">Council’s Borrowing Need (Capital Financing Requirement) </w:t>
      </w:r>
    </w:p>
    <w:p w14:paraId="6D34E55D" w14:textId="77777777" w:rsidR="0098041F" w:rsidRPr="00723232" w:rsidRDefault="0098041F" w:rsidP="0099334D">
      <w:pPr>
        <w:pStyle w:val="ListParagraph"/>
        <w:numPr>
          <w:ilvl w:val="0"/>
          <w:numId w:val="1"/>
        </w:numPr>
        <w:autoSpaceDE w:val="0"/>
        <w:autoSpaceDN w:val="0"/>
        <w:adjustRightInd w:val="0"/>
        <w:ind w:left="284" w:hanging="284"/>
        <w:rPr>
          <w:rFonts w:cs="Arial"/>
          <w:szCs w:val="24"/>
          <w:lang w:eastAsia="en-GB"/>
        </w:rPr>
      </w:pPr>
      <w:r w:rsidRPr="00723232">
        <w:rPr>
          <w:rFonts w:cs="Arial"/>
          <w:szCs w:val="24"/>
          <w:lang w:eastAsia="en-GB"/>
        </w:rPr>
        <w:t xml:space="preserve">Minimum Revenue Provision (MRP) Policy Statement  </w:t>
      </w:r>
    </w:p>
    <w:p w14:paraId="215010A8" w14:textId="77777777" w:rsidR="0098041F" w:rsidRPr="00723232" w:rsidRDefault="0098041F" w:rsidP="0099334D">
      <w:pPr>
        <w:pStyle w:val="ListParagraph"/>
        <w:numPr>
          <w:ilvl w:val="0"/>
          <w:numId w:val="1"/>
        </w:numPr>
        <w:autoSpaceDE w:val="0"/>
        <w:autoSpaceDN w:val="0"/>
        <w:adjustRightInd w:val="0"/>
        <w:ind w:left="284" w:hanging="284"/>
        <w:rPr>
          <w:rFonts w:cs="Arial"/>
          <w:szCs w:val="24"/>
          <w:lang w:eastAsia="en-GB"/>
        </w:rPr>
      </w:pPr>
      <w:r w:rsidRPr="00723232">
        <w:rPr>
          <w:rFonts w:cs="Arial"/>
          <w:szCs w:val="24"/>
          <w:lang w:eastAsia="en-GB"/>
        </w:rPr>
        <w:t xml:space="preserve">Core funds and expected investment </w:t>
      </w:r>
      <w:proofErr w:type="gramStart"/>
      <w:r w:rsidRPr="00723232">
        <w:rPr>
          <w:rFonts w:cs="Arial"/>
          <w:szCs w:val="24"/>
          <w:lang w:eastAsia="en-GB"/>
        </w:rPr>
        <w:t>balances</w:t>
      </w:r>
      <w:proofErr w:type="gramEnd"/>
    </w:p>
    <w:p w14:paraId="179BB7DA" w14:textId="77777777" w:rsidR="0098041F" w:rsidRPr="00723232" w:rsidRDefault="0098041F" w:rsidP="0099334D">
      <w:pPr>
        <w:spacing w:before="45" w:after="45"/>
        <w:rPr>
          <w:rFonts w:cs="Arial"/>
          <w:szCs w:val="24"/>
        </w:rPr>
      </w:pPr>
    </w:p>
    <w:p w14:paraId="4BE8F039" w14:textId="5A13C6F6" w:rsidR="0098041F" w:rsidRPr="00723232" w:rsidRDefault="0098041F" w:rsidP="0099334D">
      <w:pPr>
        <w:spacing w:before="45" w:after="45"/>
        <w:rPr>
          <w:rFonts w:cs="Arial"/>
          <w:b/>
          <w:szCs w:val="24"/>
        </w:rPr>
      </w:pPr>
      <w:r w:rsidRPr="007120DD">
        <w:rPr>
          <w:rFonts w:cs="Arial"/>
          <w:b/>
          <w:szCs w:val="24"/>
        </w:rPr>
        <w:t xml:space="preserve">Borrowing (Section </w:t>
      </w:r>
      <w:r w:rsidR="00251E70" w:rsidRPr="007120DD">
        <w:rPr>
          <w:rFonts w:cs="Arial"/>
          <w:b/>
          <w:szCs w:val="24"/>
        </w:rPr>
        <w:t>3</w:t>
      </w:r>
      <w:r w:rsidRPr="007120DD">
        <w:rPr>
          <w:rFonts w:cs="Arial"/>
          <w:b/>
          <w:szCs w:val="24"/>
        </w:rPr>
        <w:t>)</w:t>
      </w:r>
      <w:r w:rsidRPr="00723232">
        <w:rPr>
          <w:rFonts w:cs="Arial"/>
          <w:b/>
          <w:szCs w:val="24"/>
        </w:rPr>
        <w:t xml:space="preserve"> </w:t>
      </w:r>
    </w:p>
    <w:p w14:paraId="4254A63B" w14:textId="77777777" w:rsidR="0098041F" w:rsidRPr="00723232" w:rsidRDefault="0098041F" w:rsidP="0099334D">
      <w:pPr>
        <w:pStyle w:val="ListParagraph"/>
        <w:numPr>
          <w:ilvl w:val="0"/>
          <w:numId w:val="1"/>
        </w:numPr>
        <w:autoSpaceDE w:val="0"/>
        <w:autoSpaceDN w:val="0"/>
        <w:adjustRightInd w:val="0"/>
        <w:ind w:left="284" w:hanging="284"/>
        <w:rPr>
          <w:rFonts w:cs="Arial"/>
          <w:szCs w:val="24"/>
          <w:lang w:eastAsia="en-GB"/>
        </w:rPr>
      </w:pPr>
      <w:r w:rsidRPr="00723232">
        <w:rPr>
          <w:rFonts w:cs="Arial"/>
          <w:szCs w:val="24"/>
          <w:lang w:eastAsia="en-GB"/>
        </w:rPr>
        <w:t xml:space="preserve">Current and estimated portfolio position  </w:t>
      </w:r>
    </w:p>
    <w:p w14:paraId="4479F203" w14:textId="77777777" w:rsidR="0098041F" w:rsidRPr="00723232" w:rsidRDefault="0098041F" w:rsidP="0099334D">
      <w:pPr>
        <w:pStyle w:val="ListParagraph"/>
        <w:numPr>
          <w:ilvl w:val="0"/>
          <w:numId w:val="1"/>
        </w:numPr>
        <w:autoSpaceDE w:val="0"/>
        <w:autoSpaceDN w:val="0"/>
        <w:adjustRightInd w:val="0"/>
        <w:ind w:left="284" w:hanging="284"/>
        <w:rPr>
          <w:rFonts w:cs="Arial"/>
          <w:szCs w:val="24"/>
          <w:lang w:eastAsia="en-GB"/>
        </w:rPr>
      </w:pPr>
      <w:r w:rsidRPr="00723232">
        <w:rPr>
          <w:rFonts w:cs="Arial"/>
          <w:szCs w:val="24"/>
          <w:lang w:eastAsia="en-GB"/>
        </w:rPr>
        <w:t xml:space="preserve">Treasury indicators: limits to borrowing </w:t>
      </w:r>
      <w:proofErr w:type="gramStart"/>
      <w:r w:rsidRPr="00723232">
        <w:rPr>
          <w:rFonts w:cs="Arial"/>
          <w:szCs w:val="24"/>
          <w:lang w:eastAsia="en-GB"/>
        </w:rPr>
        <w:t>activity</w:t>
      </w:r>
      <w:proofErr w:type="gramEnd"/>
      <w:r w:rsidRPr="00723232">
        <w:rPr>
          <w:rFonts w:cs="Arial"/>
          <w:szCs w:val="24"/>
          <w:lang w:eastAsia="en-GB"/>
        </w:rPr>
        <w:t xml:space="preserve">  </w:t>
      </w:r>
    </w:p>
    <w:p w14:paraId="154628FF" w14:textId="77777777" w:rsidR="0098041F" w:rsidRPr="00723232" w:rsidRDefault="0098041F" w:rsidP="0099334D">
      <w:pPr>
        <w:pStyle w:val="ListParagraph"/>
        <w:numPr>
          <w:ilvl w:val="0"/>
          <w:numId w:val="1"/>
        </w:numPr>
        <w:autoSpaceDE w:val="0"/>
        <w:autoSpaceDN w:val="0"/>
        <w:adjustRightInd w:val="0"/>
        <w:ind w:left="284" w:hanging="284"/>
        <w:rPr>
          <w:rFonts w:cs="Arial"/>
          <w:szCs w:val="24"/>
          <w:lang w:eastAsia="en-GB"/>
        </w:rPr>
      </w:pPr>
      <w:r w:rsidRPr="00723232">
        <w:rPr>
          <w:rFonts w:cs="Arial"/>
          <w:szCs w:val="24"/>
          <w:lang w:eastAsia="en-GB"/>
        </w:rPr>
        <w:t xml:space="preserve">Prospects for interest rates and economic commentary  </w:t>
      </w:r>
    </w:p>
    <w:p w14:paraId="3F9F7230" w14:textId="77777777" w:rsidR="0098041F" w:rsidRPr="00723232" w:rsidRDefault="0098041F" w:rsidP="0099334D">
      <w:pPr>
        <w:pStyle w:val="ListParagraph"/>
        <w:numPr>
          <w:ilvl w:val="0"/>
          <w:numId w:val="1"/>
        </w:numPr>
        <w:autoSpaceDE w:val="0"/>
        <w:autoSpaceDN w:val="0"/>
        <w:adjustRightInd w:val="0"/>
        <w:ind w:left="284" w:hanging="284"/>
        <w:rPr>
          <w:rFonts w:cs="Arial"/>
          <w:szCs w:val="24"/>
          <w:lang w:eastAsia="en-GB"/>
        </w:rPr>
      </w:pPr>
      <w:r w:rsidRPr="00723232">
        <w:rPr>
          <w:rFonts w:cs="Arial"/>
          <w:szCs w:val="24"/>
          <w:lang w:eastAsia="en-GB"/>
        </w:rPr>
        <w:t xml:space="preserve">Borrowing strategy  </w:t>
      </w:r>
    </w:p>
    <w:p w14:paraId="62EC7413" w14:textId="77777777" w:rsidR="0098041F" w:rsidRPr="00723232" w:rsidRDefault="0098041F" w:rsidP="0099334D">
      <w:pPr>
        <w:pStyle w:val="ListParagraph"/>
        <w:numPr>
          <w:ilvl w:val="0"/>
          <w:numId w:val="1"/>
        </w:numPr>
        <w:autoSpaceDE w:val="0"/>
        <w:autoSpaceDN w:val="0"/>
        <w:adjustRightInd w:val="0"/>
        <w:ind w:left="284" w:hanging="284"/>
        <w:rPr>
          <w:rFonts w:cs="Arial"/>
          <w:szCs w:val="24"/>
          <w:lang w:eastAsia="en-GB"/>
        </w:rPr>
      </w:pPr>
      <w:r w:rsidRPr="00723232">
        <w:rPr>
          <w:rFonts w:cs="Arial"/>
          <w:szCs w:val="24"/>
          <w:lang w:eastAsia="en-GB"/>
        </w:rPr>
        <w:t xml:space="preserve">Treasury management limits on activity  </w:t>
      </w:r>
    </w:p>
    <w:p w14:paraId="242DF889" w14:textId="77777777" w:rsidR="0098041F" w:rsidRPr="00723232" w:rsidRDefault="0098041F" w:rsidP="0099334D">
      <w:pPr>
        <w:pStyle w:val="ListParagraph"/>
        <w:numPr>
          <w:ilvl w:val="0"/>
          <w:numId w:val="1"/>
        </w:numPr>
        <w:autoSpaceDE w:val="0"/>
        <w:autoSpaceDN w:val="0"/>
        <w:adjustRightInd w:val="0"/>
        <w:ind w:left="284" w:hanging="284"/>
        <w:rPr>
          <w:rFonts w:cs="Arial"/>
          <w:szCs w:val="24"/>
          <w:lang w:eastAsia="en-GB"/>
        </w:rPr>
      </w:pPr>
      <w:r w:rsidRPr="00723232">
        <w:rPr>
          <w:rFonts w:cs="Arial"/>
          <w:szCs w:val="24"/>
          <w:lang w:eastAsia="en-GB"/>
        </w:rPr>
        <w:t xml:space="preserve">Policy on borrowing in advance of need </w:t>
      </w:r>
    </w:p>
    <w:p w14:paraId="492AFABE" w14:textId="5FB5B1A3" w:rsidR="0098041F" w:rsidRPr="007B5193" w:rsidRDefault="0098041F" w:rsidP="0099334D">
      <w:pPr>
        <w:pStyle w:val="ListParagraph"/>
        <w:numPr>
          <w:ilvl w:val="0"/>
          <w:numId w:val="1"/>
        </w:numPr>
        <w:autoSpaceDE w:val="0"/>
        <w:autoSpaceDN w:val="0"/>
        <w:adjustRightInd w:val="0"/>
        <w:ind w:left="284" w:hanging="284"/>
        <w:rPr>
          <w:rFonts w:cs="Arial"/>
          <w:szCs w:val="24"/>
          <w:lang w:eastAsia="en-GB"/>
        </w:rPr>
      </w:pPr>
      <w:r w:rsidRPr="00723232">
        <w:rPr>
          <w:rFonts w:cs="Arial"/>
          <w:szCs w:val="24"/>
          <w:lang w:eastAsia="en-GB"/>
        </w:rPr>
        <w:t xml:space="preserve">Debt rescheduling </w:t>
      </w:r>
    </w:p>
    <w:p w14:paraId="10E228C3" w14:textId="77777777" w:rsidR="0098041F" w:rsidRPr="00723232" w:rsidRDefault="0098041F" w:rsidP="0099334D">
      <w:pPr>
        <w:pStyle w:val="ListParagraph"/>
        <w:numPr>
          <w:ilvl w:val="0"/>
          <w:numId w:val="1"/>
        </w:numPr>
        <w:autoSpaceDE w:val="0"/>
        <w:autoSpaceDN w:val="0"/>
        <w:adjustRightInd w:val="0"/>
        <w:ind w:left="284" w:hanging="284"/>
        <w:rPr>
          <w:rFonts w:cs="Arial"/>
          <w:szCs w:val="24"/>
          <w:lang w:eastAsia="en-GB"/>
        </w:rPr>
      </w:pPr>
      <w:r w:rsidRPr="00723232">
        <w:rPr>
          <w:rFonts w:cs="Arial"/>
          <w:szCs w:val="24"/>
          <w:lang w:eastAsia="en-GB"/>
        </w:rPr>
        <w:t xml:space="preserve">Approved sources of </w:t>
      </w:r>
      <w:proofErr w:type="gramStart"/>
      <w:r w:rsidRPr="00723232">
        <w:rPr>
          <w:rFonts w:cs="Arial"/>
          <w:szCs w:val="24"/>
          <w:lang w:eastAsia="en-GB"/>
        </w:rPr>
        <w:t>long and short term</w:t>
      </w:r>
      <w:proofErr w:type="gramEnd"/>
      <w:r w:rsidRPr="00723232">
        <w:rPr>
          <w:rFonts w:cs="Arial"/>
          <w:szCs w:val="24"/>
          <w:lang w:eastAsia="en-GB"/>
        </w:rPr>
        <w:t xml:space="preserve"> borrowing</w:t>
      </w:r>
    </w:p>
    <w:p w14:paraId="4F427D3B" w14:textId="77777777" w:rsidR="0098041F" w:rsidRPr="00723232" w:rsidRDefault="0098041F" w:rsidP="0099334D">
      <w:pPr>
        <w:spacing w:before="45" w:after="45"/>
        <w:rPr>
          <w:rFonts w:cs="Arial"/>
          <w:szCs w:val="24"/>
        </w:rPr>
      </w:pPr>
    </w:p>
    <w:p w14:paraId="44CB29B5" w14:textId="6BAF00A7" w:rsidR="0098041F" w:rsidRPr="00723232" w:rsidRDefault="0098041F" w:rsidP="0099334D">
      <w:pPr>
        <w:spacing w:before="45" w:after="45"/>
        <w:rPr>
          <w:rFonts w:cs="Arial"/>
          <w:b/>
          <w:szCs w:val="24"/>
        </w:rPr>
      </w:pPr>
      <w:r w:rsidRPr="007120DD">
        <w:rPr>
          <w:rFonts w:cs="Arial"/>
          <w:b/>
          <w:szCs w:val="24"/>
        </w:rPr>
        <w:t xml:space="preserve">Annual Investment Strategy (Section </w:t>
      </w:r>
      <w:r w:rsidR="00251E70" w:rsidRPr="007120DD">
        <w:rPr>
          <w:rFonts w:cs="Arial"/>
          <w:b/>
          <w:szCs w:val="24"/>
        </w:rPr>
        <w:t>4</w:t>
      </w:r>
      <w:r w:rsidRPr="007120DD">
        <w:rPr>
          <w:rFonts w:cs="Arial"/>
          <w:b/>
          <w:szCs w:val="24"/>
        </w:rPr>
        <w:t>)</w:t>
      </w:r>
      <w:r w:rsidRPr="00723232">
        <w:rPr>
          <w:rFonts w:cs="Arial"/>
          <w:b/>
          <w:szCs w:val="24"/>
        </w:rPr>
        <w:t xml:space="preserve"> </w:t>
      </w:r>
    </w:p>
    <w:p w14:paraId="410BE676" w14:textId="77777777" w:rsidR="0098041F" w:rsidRPr="00723232" w:rsidRDefault="0098041F" w:rsidP="0099334D">
      <w:pPr>
        <w:pStyle w:val="ListParagraph"/>
        <w:numPr>
          <w:ilvl w:val="0"/>
          <w:numId w:val="1"/>
        </w:numPr>
        <w:autoSpaceDE w:val="0"/>
        <w:autoSpaceDN w:val="0"/>
        <w:adjustRightInd w:val="0"/>
        <w:ind w:left="284" w:hanging="284"/>
        <w:rPr>
          <w:rFonts w:cs="Arial"/>
          <w:szCs w:val="24"/>
          <w:lang w:eastAsia="en-GB"/>
        </w:rPr>
      </w:pPr>
      <w:r w:rsidRPr="00723232">
        <w:rPr>
          <w:rFonts w:cs="Arial"/>
          <w:szCs w:val="24"/>
          <w:lang w:eastAsia="en-GB"/>
        </w:rPr>
        <w:t xml:space="preserve">Investment policy </w:t>
      </w:r>
    </w:p>
    <w:p w14:paraId="00951151" w14:textId="77777777" w:rsidR="0098041F" w:rsidRPr="00723232" w:rsidRDefault="0098041F" w:rsidP="0099334D">
      <w:pPr>
        <w:pStyle w:val="ListParagraph"/>
        <w:numPr>
          <w:ilvl w:val="0"/>
          <w:numId w:val="1"/>
        </w:numPr>
        <w:autoSpaceDE w:val="0"/>
        <w:autoSpaceDN w:val="0"/>
        <w:adjustRightInd w:val="0"/>
        <w:ind w:left="284" w:hanging="284"/>
        <w:rPr>
          <w:rFonts w:cs="Arial"/>
          <w:szCs w:val="24"/>
          <w:lang w:eastAsia="en-GB"/>
        </w:rPr>
      </w:pPr>
      <w:r w:rsidRPr="00723232">
        <w:rPr>
          <w:rFonts w:cs="Arial"/>
          <w:szCs w:val="24"/>
          <w:lang w:eastAsia="en-GB"/>
        </w:rPr>
        <w:t xml:space="preserve">Creditworthiness policy </w:t>
      </w:r>
    </w:p>
    <w:p w14:paraId="71C5F8BC" w14:textId="77777777" w:rsidR="0098041F" w:rsidRPr="00723232" w:rsidRDefault="0098041F" w:rsidP="0099334D">
      <w:pPr>
        <w:pStyle w:val="ListParagraph"/>
        <w:numPr>
          <w:ilvl w:val="0"/>
          <w:numId w:val="1"/>
        </w:numPr>
        <w:autoSpaceDE w:val="0"/>
        <w:autoSpaceDN w:val="0"/>
        <w:adjustRightInd w:val="0"/>
        <w:ind w:left="284" w:hanging="284"/>
        <w:rPr>
          <w:rFonts w:cs="Arial"/>
          <w:szCs w:val="24"/>
          <w:lang w:eastAsia="en-GB"/>
        </w:rPr>
      </w:pPr>
      <w:r w:rsidRPr="00723232">
        <w:rPr>
          <w:rFonts w:cs="Arial"/>
          <w:szCs w:val="24"/>
          <w:lang w:eastAsia="en-GB"/>
        </w:rPr>
        <w:lastRenderedPageBreak/>
        <w:t xml:space="preserve">Country limits </w:t>
      </w:r>
    </w:p>
    <w:p w14:paraId="52E439DC" w14:textId="77777777" w:rsidR="0098041F" w:rsidRPr="00723232" w:rsidRDefault="0098041F" w:rsidP="0099334D">
      <w:pPr>
        <w:pStyle w:val="ListParagraph"/>
        <w:numPr>
          <w:ilvl w:val="0"/>
          <w:numId w:val="1"/>
        </w:numPr>
        <w:autoSpaceDE w:val="0"/>
        <w:autoSpaceDN w:val="0"/>
        <w:adjustRightInd w:val="0"/>
        <w:ind w:left="284" w:hanging="284"/>
        <w:rPr>
          <w:rFonts w:cs="Arial"/>
          <w:szCs w:val="24"/>
          <w:lang w:eastAsia="en-GB"/>
        </w:rPr>
      </w:pPr>
      <w:r w:rsidRPr="00723232">
        <w:rPr>
          <w:rFonts w:cs="Arial"/>
          <w:szCs w:val="24"/>
          <w:lang w:eastAsia="en-GB"/>
        </w:rPr>
        <w:t xml:space="preserve">Annual Investment Strategy </w:t>
      </w:r>
    </w:p>
    <w:p w14:paraId="188C9227" w14:textId="77777777" w:rsidR="0098041F" w:rsidRPr="00723232" w:rsidRDefault="0098041F" w:rsidP="0099334D">
      <w:pPr>
        <w:pStyle w:val="ListParagraph"/>
        <w:numPr>
          <w:ilvl w:val="0"/>
          <w:numId w:val="1"/>
        </w:numPr>
        <w:autoSpaceDE w:val="0"/>
        <w:autoSpaceDN w:val="0"/>
        <w:adjustRightInd w:val="0"/>
        <w:ind w:left="284" w:hanging="284"/>
        <w:rPr>
          <w:rFonts w:cs="Arial"/>
          <w:szCs w:val="24"/>
          <w:lang w:eastAsia="en-GB"/>
        </w:rPr>
      </w:pPr>
      <w:r w:rsidRPr="00723232">
        <w:rPr>
          <w:rFonts w:cs="Arial"/>
          <w:szCs w:val="24"/>
          <w:lang w:eastAsia="en-GB"/>
        </w:rPr>
        <w:t xml:space="preserve">Investment risk benchmarking </w:t>
      </w:r>
    </w:p>
    <w:p w14:paraId="63CFA4DA" w14:textId="77777777" w:rsidR="0098041F" w:rsidRPr="00723232" w:rsidRDefault="0098041F" w:rsidP="0099334D">
      <w:pPr>
        <w:pStyle w:val="ListParagraph"/>
        <w:numPr>
          <w:ilvl w:val="0"/>
          <w:numId w:val="1"/>
        </w:numPr>
        <w:autoSpaceDE w:val="0"/>
        <w:autoSpaceDN w:val="0"/>
        <w:adjustRightInd w:val="0"/>
        <w:ind w:left="284" w:hanging="284"/>
        <w:rPr>
          <w:rFonts w:cs="Arial"/>
          <w:szCs w:val="24"/>
          <w:lang w:eastAsia="en-GB"/>
        </w:rPr>
      </w:pPr>
      <w:r w:rsidRPr="00723232">
        <w:rPr>
          <w:rFonts w:cs="Arial"/>
          <w:szCs w:val="24"/>
          <w:lang w:eastAsia="en-GB"/>
        </w:rPr>
        <w:t>End of year investment report</w:t>
      </w:r>
    </w:p>
    <w:p w14:paraId="2FF4325D" w14:textId="77777777" w:rsidR="0098041F" w:rsidRPr="00723232" w:rsidRDefault="0098041F" w:rsidP="0099334D">
      <w:pPr>
        <w:spacing w:before="45" w:after="45"/>
        <w:rPr>
          <w:rFonts w:cs="Arial"/>
          <w:szCs w:val="24"/>
        </w:rPr>
      </w:pPr>
    </w:p>
    <w:p w14:paraId="463CD43B" w14:textId="5C2F8BFF" w:rsidR="0098041F" w:rsidRPr="00723232" w:rsidRDefault="0098041F" w:rsidP="0099334D">
      <w:pPr>
        <w:spacing w:before="45" w:after="45"/>
        <w:rPr>
          <w:rFonts w:cs="Arial"/>
          <w:b/>
          <w:bCs/>
          <w:szCs w:val="24"/>
        </w:rPr>
      </w:pPr>
      <w:r w:rsidRPr="007120DD">
        <w:rPr>
          <w:rFonts w:cs="Arial"/>
          <w:b/>
          <w:bCs/>
          <w:szCs w:val="24"/>
        </w:rPr>
        <w:t xml:space="preserve">Other Treasury Issues (Section </w:t>
      </w:r>
      <w:r w:rsidR="00251E70" w:rsidRPr="007120DD">
        <w:rPr>
          <w:rFonts w:cs="Arial"/>
          <w:b/>
          <w:bCs/>
          <w:szCs w:val="24"/>
        </w:rPr>
        <w:t>5</w:t>
      </w:r>
      <w:r w:rsidRPr="007120DD">
        <w:rPr>
          <w:rFonts w:cs="Arial"/>
          <w:b/>
          <w:bCs/>
          <w:szCs w:val="24"/>
        </w:rPr>
        <w:t>)</w:t>
      </w:r>
    </w:p>
    <w:p w14:paraId="26A6A8FC" w14:textId="77777777" w:rsidR="0098041F" w:rsidRPr="00723232" w:rsidRDefault="0098041F" w:rsidP="0099334D">
      <w:pPr>
        <w:pStyle w:val="ListParagraph"/>
        <w:numPr>
          <w:ilvl w:val="0"/>
          <w:numId w:val="1"/>
        </w:numPr>
        <w:autoSpaceDE w:val="0"/>
        <w:autoSpaceDN w:val="0"/>
        <w:adjustRightInd w:val="0"/>
        <w:ind w:left="284" w:hanging="284"/>
        <w:rPr>
          <w:rFonts w:cs="Arial"/>
          <w:szCs w:val="24"/>
          <w:lang w:eastAsia="en-GB"/>
        </w:rPr>
      </w:pPr>
      <w:r w:rsidRPr="00723232">
        <w:rPr>
          <w:rFonts w:cs="Arial"/>
          <w:szCs w:val="24"/>
          <w:lang w:eastAsia="en-GB"/>
        </w:rPr>
        <w:t xml:space="preserve">Policy on the use of financial derivatives </w:t>
      </w:r>
    </w:p>
    <w:p w14:paraId="62ADA54F" w14:textId="54FEBCD3" w:rsidR="0098041F" w:rsidRPr="00723232" w:rsidRDefault="003D2230" w:rsidP="0099334D">
      <w:pPr>
        <w:pStyle w:val="ListParagraph"/>
        <w:numPr>
          <w:ilvl w:val="0"/>
          <w:numId w:val="1"/>
        </w:numPr>
        <w:autoSpaceDE w:val="0"/>
        <w:autoSpaceDN w:val="0"/>
        <w:adjustRightInd w:val="0"/>
        <w:ind w:left="284" w:hanging="284"/>
        <w:rPr>
          <w:rFonts w:cs="Arial"/>
          <w:szCs w:val="24"/>
          <w:lang w:eastAsia="en-GB"/>
        </w:rPr>
      </w:pPr>
      <w:r>
        <w:rPr>
          <w:rFonts w:cs="Arial"/>
          <w:szCs w:val="24"/>
          <w:lang w:eastAsia="en-GB"/>
        </w:rPr>
        <w:t xml:space="preserve">The use of </w:t>
      </w:r>
      <w:r w:rsidR="0098041F" w:rsidRPr="00723232">
        <w:rPr>
          <w:rFonts w:cs="Arial"/>
          <w:szCs w:val="24"/>
          <w:lang w:eastAsia="en-GB"/>
        </w:rPr>
        <w:t>Brokers</w:t>
      </w:r>
    </w:p>
    <w:p w14:paraId="3AABB8C4" w14:textId="77777777" w:rsidR="0098041F" w:rsidRPr="00723232" w:rsidRDefault="0098041F" w:rsidP="0099334D">
      <w:pPr>
        <w:pStyle w:val="ListParagraph"/>
        <w:numPr>
          <w:ilvl w:val="0"/>
          <w:numId w:val="1"/>
        </w:numPr>
        <w:autoSpaceDE w:val="0"/>
        <w:autoSpaceDN w:val="0"/>
        <w:adjustRightInd w:val="0"/>
        <w:ind w:left="284" w:hanging="284"/>
        <w:rPr>
          <w:rFonts w:cs="Arial"/>
          <w:szCs w:val="24"/>
          <w:lang w:eastAsia="en-GB"/>
        </w:rPr>
      </w:pPr>
      <w:r w:rsidRPr="00723232">
        <w:rPr>
          <w:rFonts w:cs="Arial"/>
          <w:szCs w:val="24"/>
          <w:lang w:eastAsia="en-GB"/>
        </w:rPr>
        <w:t xml:space="preserve">Member and Officer Training </w:t>
      </w:r>
    </w:p>
    <w:p w14:paraId="68DC14B6" w14:textId="77777777" w:rsidR="0098041F" w:rsidRPr="00723232" w:rsidRDefault="0098041F" w:rsidP="0099334D">
      <w:pPr>
        <w:pStyle w:val="ListParagraph"/>
        <w:numPr>
          <w:ilvl w:val="0"/>
          <w:numId w:val="1"/>
        </w:numPr>
        <w:autoSpaceDE w:val="0"/>
        <w:autoSpaceDN w:val="0"/>
        <w:adjustRightInd w:val="0"/>
        <w:ind w:left="284" w:hanging="284"/>
        <w:rPr>
          <w:rFonts w:cs="Arial"/>
          <w:szCs w:val="24"/>
          <w:lang w:eastAsia="en-GB"/>
        </w:rPr>
      </w:pPr>
      <w:r w:rsidRPr="00723232">
        <w:rPr>
          <w:rFonts w:cs="Arial"/>
          <w:szCs w:val="24"/>
          <w:lang w:eastAsia="en-GB"/>
        </w:rPr>
        <w:t>Policy on use of external service providers</w:t>
      </w:r>
    </w:p>
    <w:p w14:paraId="017682C1" w14:textId="77777777" w:rsidR="0098041F" w:rsidRPr="00251E70" w:rsidRDefault="0098041F" w:rsidP="0099334D">
      <w:pPr>
        <w:pStyle w:val="ListParagraph"/>
        <w:ind w:left="0"/>
        <w:rPr>
          <w:rFonts w:cs="Arial"/>
          <w:bCs/>
          <w:szCs w:val="24"/>
        </w:rPr>
      </w:pPr>
    </w:p>
    <w:p w14:paraId="2767CE4E" w14:textId="77777777" w:rsidR="0098041F" w:rsidRPr="0098041F" w:rsidRDefault="0098041F" w:rsidP="0099334D"/>
    <w:p w14:paraId="777322A6" w14:textId="06A1329A" w:rsidR="0098041F" w:rsidRPr="003D6E2F" w:rsidRDefault="0098041F" w:rsidP="0099334D">
      <w:pPr>
        <w:pStyle w:val="Heading2"/>
        <w:rPr>
          <w:rFonts w:ascii="Arial" w:hAnsi="Arial"/>
          <w:sz w:val="28"/>
          <w:szCs w:val="28"/>
        </w:rPr>
      </w:pPr>
      <w:r w:rsidRPr="003D6E2F">
        <w:rPr>
          <w:rFonts w:ascii="Arial" w:hAnsi="Arial"/>
          <w:sz w:val="28"/>
          <w:szCs w:val="28"/>
        </w:rPr>
        <w:t>Capital Issues</w:t>
      </w:r>
    </w:p>
    <w:p w14:paraId="3847EE17" w14:textId="4D9AE3A7" w:rsidR="0098041F" w:rsidRDefault="0098041F" w:rsidP="0099334D"/>
    <w:p w14:paraId="3B2DD538" w14:textId="77777777" w:rsidR="0098041F" w:rsidRPr="00BD1B30" w:rsidRDefault="0098041F" w:rsidP="0099334D">
      <w:pPr>
        <w:pStyle w:val="ListParagraph"/>
        <w:numPr>
          <w:ilvl w:val="0"/>
          <w:numId w:val="13"/>
        </w:numPr>
        <w:ind w:left="0" w:hanging="720"/>
        <w:rPr>
          <w:rFonts w:cs="Arial"/>
          <w:bCs/>
          <w:szCs w:val="24"/>
        </w:rPr>
      </w:pPr>
      <w:r w:rsidRPr="00BD1B30">
        <w:rPr>
          <w:rFonts w:cs="Arial"/>
          <w:bCs/>
          <w:szCs w:val="24"/>
        </w:rPr>
        <w:t>The Council’s capital expenditure plans are the key driver of treasury management activity. The output of the capital expenditure plans is reflected in the prudential indicators, which are designed to assist members’ overview and confirm capital expenditure plans.</w:t>
      </w:r>
    </w:p>
    <w:p w14:paraId="6859A134" w14:textId="77777777" w:rsidR="0098041F" w:rsidRDefault="0098041F" w:rsidP="0099334D">
      <w:pPr>
        <w:pStyle w:val="ListParagraph"/>
        <w:tabs>
          <w:tab w:val="left" w:pos="0"/>
        </w:tabs>
        <w:ind w:left="0"/>
        <w:rPr>
          <w:rFonts w:cs="Arial"/>
          <w:szCs w:val="24"/>
        </w:rPr>
      </w:pPr>
    </w:p>
    <w:p w14:paraId="518A3C41" w14:textId="51FE2FA4" w:rsidR="0098041F" w:rsidRDefault="0098041F" w:rsidP="0099334D">
      <w:pPr>
        <w:pStyle w:val="ListParagraph"/>
        <w:numPr>
          <w:ilvl w:val="0"/>
          <w:numId w:val="13"/>
        </w:numPr>
        <w:ind w:left="0" w:hanging="720"/>
        <w:rPr>
          <w:rFonts w:cs="Arial"/>
          <w:bCs/>
          <w:szCs w:val="24"/>
        </w:rPr>
      </w:pPr>
      <w:r w:rsidRPr="00BD1B30">
        <w:rPr>
          <w:rFonts w:cs="Arial"/>
          <w:bCs/>
          <w:szCs w:val="24"/>
        </w:rPr>
        <w:t xml:space="preserve">The figures and tables in this report are based on the final Capital Programme which is set out in a separate report to Cabinet. </w:t>
      </w:r>
    </w:p>
    <w:p w14:paraId="23C13129" w14:textId="77777777" w:rsidR="00C05370" w:rsidRPr="00C05370" w:rsidRDefault="00C05370" w:rsidP="0099334D">
      <w:pPr>
        <w:pStyle w:val="ListParagraph"/>
        <w:rPr>
          <w:rFonts w:cs="Arial"/>
          <w:bCs/>
          <w:szCs w:val="24"/>
        </w:rPr>
      </w:pPr>
    </w:p>
    <w:p w14:paraId="1F769866" w14:textId="4DA8E2E8" w:rsidR="00C05370" w:rsidRPr="00E97AC8" w:rsidRDefault="00C05370" w:rsidP="0099334D">
      <w:pPr>
        <w:pStyle w:val="ListParagraph"/>
        <w:numPr>
          <w:ilvl w:val="0"/>
          <w:numId w:val="13"/>
        </w:numPr>
        <w:ind w:left="0" w:hanging="720"/>
        <w:rPr>
          <w:rFonts w:cs="Arial"/>
          <w:bCs/>
          <w:szCs w:val="24"/>
        </w:rPr>
      </w:pPr>
      <w:r w:rsidRPr="00E97AC8">
        <w:rPr>
          <w:rFonts w:cs="Arial"/>
          <w:bCs/>
          <w:szCs w:val="24"/>
        </w:rPr>
        <w:t>Cabinet</w:t>
      </w:r>
      <w:r w:rsidR="00E97AC8">
        <w:rPr>
          <w:rFonts w:cs="Arial"/>
          <w:bCs/>
          <w:szCs w:val="24"/>
        </w:rPr>
        <w:t xml:space="preserve"> has</w:t>
      </w:r>
      <w:r w:rsidRPr="00E97AC8">
        <w:rPr>
          <w:rFonts w:cs="Arial"/>
          <w:bCs/>
          <w:szCs w:val="24"/>
        </w:rPr>
        <w:t xml:space="preserve"> receive</w:t>
      </w:r>
      <w:r w:rsidR="00E97AC8">
        <w:rPr>
          <w:rFonts w:cs="Arial"/>
          <w:bCs/>
          <w:szCs w:val="24"/>
        </w:rPr>
        <w:t>d a</w:t>
      </w:r>
      <w:r w:rsidRPr="00E97AC8">
        <w:rPr>
          <w:rFonts w:cs="Arial"/>
          <w:bCs/>
          <w:szCs w:val="24"/>
        </w:rPr>
        <w:t xml:space="preserve"> report on the Harrow Strategic Development Partnership</w:t>
      </w:r>
      <w:r w:rsidR="00E97AC8">
        <w:rPr>
          <w:rFonts w:cs="Arial"/>
          <w:bCs/>
          <w:szCs w:val="24"/>
        </w:rPr>
        <w:t xml:space="preserve"> on 24</w:t>
      </w:r>
      <w:r w:rsidR="00E97AC8" w:rsidRPr="00E97AC8">
        <w:rPr>
          <w:rFonts w:cs="Arial"/>
          <w:bCs/>
          <w:szCs w:val="24"/>
          <w:vertAlign w:val="superscript"/>
        </w:rPr>
        <w:t>th</w:t>
      </w:r>
      <w:r w:rsidR="00E97AC8">
        <w:rPr>
          <w:rFonts w:cs="Arial"/>
          <w:bCs/>
          <w:szCs w:val="24"/>
        </w:rPr>
        <w:t xml:space="preserve"> January 2024 which included </w:t>
      </w:r>
      <w:r w:rsidRPr="00E97AC8">
        <w:rPr>
          <w:rFonts w:cs="Arial"/>
          <w:bCs/>
          <w:szCs w:val="24"/>
        </w:rPr>
        <w:t xml:space="preserve">the </w:t>
      </w:r>
      <w:r w:rsidR="0058745D" w:rsidRPr="00E97AC8">
        <w:rPr>
          <w:rFonts w:cs="Arial"/>
          <w:bCs/>
          <w:szCs w:val="24"/>
        </w:rPr>
        <w:t>b</w:t>
      </w:r>
      <w:r w:rsidRPr="00E97AC8">
        <w:rPr>
          <w:rFonts w:cs="Arial"/>
          <w:bCs/>
          <w:szCs w:val="24"/>
        </w:rPr>
        <w:t xml:space="preserve">usiness </w:t>
      </w:r>
      <w:r w:rsidR="0058745D" w:rsidRPr="00E97AC8">
        <w:rPr>
          <w:rFonts w:cs="Arial"/>
          <w:bCs/>
          <w:szCs w:val="24"/>
        </w:rPr>
        <w:t>p</w:t>
      </w:r>
      <w:r w:rsidRPr="00E97AC8">
        <w:rPr>
          <w:rFonts w:cs="Arial"/>
          <w:bCs/>
          <w:szCs w:val="24"/>
        </w:rPr>
        <w:t>lans in respect of the Byron Quarter and Poets Corner developments.  The report requests approval to spend up to £1.54m (Byron Quarter) and up to £2.24m (Poets Corner) on Phase 1 of each of the schemes over the next 12 months. Due to the current</w:t>
      </w:r>
      <w:r w:rsidR="00555246" w:rsidRPr="00E97AC8">
        <w:rPr>
          <w:rFonts w:cs="Arial"/>
          <w:bCs/>
          <w:szCs w:val="24"/>
        </w:rPr>
        <w:t xml:space="preserve"> financing</w:t>
      </w:r>
      <w:r w:rsidRPr="00E97AC8">
        <w:rPr>
          <w:rFonts w:cs="Arial"/>
          <w:bCs/>
          <w:szCs w:val="24"/>
        </w:rPr>
        <w:t xml:space="preserve"> arrangements with Wates Residential,</w:t>
      </w:r>
      <w:r w:rsidR="00555246" w:rsidRPr="00E97AC8">
        <w:rPr>
          <w:rFonts w:cs="Arial"/>
          <w:bCs/>
          <w:szCs w:val="24"/>
        </w:rPr>
        <w:t xml:space="preserve"> while the Council as joint partner underwrites 50% of the expenditure incurred</w:t>
      </w:r>
      <w:r w:rsidRPr="00E97AC8">
        <w:rPr>
          <w:rFonts w:cs="Arial"/>
          <w:bCs/>
          <w:szCs w:val="24"/>
        </w:rPr>
        <w:t xml:space="preserve"> there is no immediate cashflow implications for the Council</w:t>
      </w:r>
      <w:r w:rsidR="00555246" w:rsidRPr="00E97AC8">
        <w:rPr>
          <w:rFonts w:cs="Arial"/>
          <w:bCs/>
          <w:szCs w:val="24"/>
        </w:rPr>
        <w:t xml:space="preserve"> anticipated in 2024/25</w:t>
      </w:r>
      <w:r w:rsidR="0058745D" w:rsidRPr="00E97AC8">
        <w:rPr>
          <w:rFonts w:cs="Arial"/>
          <w:bCs/>
          <w:szCs w:val="24"/>
        </w:rPr>
        <w:t>.  The Council is</w:t>
      </w:r>
      <w:r w:rsidR="005E5702" w:rsidRPr="00E97AC8">
        <w:rPr>
          <w:rFonts w:cs="Arial"/>
          <w:bCs/>
          <w:szCs w:val="24"/>
        </w:rPr>
        <w:t xml:space="preserve"> expected to advance funds</w:t>
      </w:r>
      <w:r w:rsidR="00E97AC8">
        <w:rPr>
          <w:rFonts w:cs="Arial"/>
          <w:bCs/>
          <w:szCs w:val="24"/>
        </w:rPr>
        <w:t xml:space="preserve"> for Byron Quarter</w:t>
      </w:r>
      <w:r w:rsidR="005E5702" w:rsidRPr="00E97AC8">
        <w:rPr>
          <w:rFonts w:cs="Arial"/>
          <w:bCs/>
          <w:szCs w:val="24"/>
        </w:rPr>
        <w:t xml:space="preserve"> in 2025/26 and 2026/27.</w:t>
      </w:r>
      <w:r w:rsidR="00555246" w:rsidRPr="00E97AC8">
        <w:rPr>
          <w:rFonts w:cs="Arial"/>
          <w:bCs/>
          <w:szCs w:val="24"/>
        </w:rPr>
        <w:t xml:space="preserve">  The prudential indicators within the treasury strategy will be updated once greater certainty over the expenditure</w:t>
      </w:r>
      <w:r w:rsidR="0058745D" w:rsidRPr="00E97AC8">
        <w:rPr>
          <w:rFonts w:cs="Arial"/>
          <w:bCs/>
          <w:szCs w:val="24"/>
        </w:rPr>
        <w:t xml:space="preserve"> and investment</w:t>
      </w:r>
      <w:r w:rsidR="00555246" w:rsidRPr="00E97AC8">
        <w:rPr>
          <w:rFonts w:cs="Arial"/>
          <w:bCs/>
          <w:szCs w:val="24"/>
        </w:rPr>
        <w:t xml:space="preserve"> profile</w:t>
      </w:r>
      <w:r w:rsidR="0058745D" w:rsidRPr="00E97AC8">
        <w:rPr>
          <w:rFonts w:cs="Arial"/>
          <w:bCs/>
          <w:szCs w:val="24"/>
        </w:rPr>
        <w:t>s</w:t>
      </w:r>
      <w:r w:rsidR="00555246" w:rsidRPr="00E97AC8">
        <w:rPr>
          <w:rFonts w:cs="Arial"/>
          <w:bCs/>
          <w:szCs w:val="24"/>
        </w:rPr>
        <w:t xml:space="preserve"> becomes known.</w:t>
      </w:r>
    </w:p>
    <w:p w14:paraId="6EF95E75" w14:textId="77777777" w:rsidR="0058745D" w:rsidRPr="00E97AC8" w:rsidRDefault="0058745D" w:rsidP="0099334D">
      <w:pPr>
        <w:pStyle w:val="ListParagraph"/>
        <w:rPr>
          <w:rFonts w:cs="Arial"/>
          <w:bCs/>
          <w:szCs w:val="24"/>
        </w:rPr>
      </w:pPr>
    </w:p>
    <w:p w14:paraId="7B3D0518" w14:textId="623392AE" w:rsidR="0058745D" w:rsidRPr="00E97AC8" w:rsidRDefault="0058745D" w:rsidP="0099334D">
      <w:pPr>
        <w:pStyle w:val="ListParagraph"/>
        <w:numPr>
          <w:ilvl w:val="0"/>
          <w:numId w:val="13"/>
        </w:numPr>
        <w:ind w:left="0" w:hanging="720"/>
        <w:rPr>
          <w:rFonts w:cs="Arial"/>
          <w:bCs/>
          <w:szCs w:val="24"/>
        </w:rPr>
      </w:pPr>
      <w:r w:rsidRPr="00E97AC8">
        <w:rPr>
          <w:rFonts w:cs="Arial"/>
          <w:bCs/>
          <w:szCs w:val="24"/>
        </w:rPr>
        <w:t>The CIPFA Prudential Code and Treasury Management Code of Practice, differentiate service and commercial investment from treasury investments.  In doing so, the Codes recognise that these types of investment will have different objectives and risk profiles to the security and liquidity before yield principals that are applied to treasury investments within this strategy.</w:t>
      </w:r>
    </w:p>
    <w:p w14:paraId="3F3666D3" w14:textId="77777777" w:rsidR="0098041F" w:rsidRPr="007F7A78" w:rsidRDefault="0098041F" w:rsidP="0099334D">
      <w:pPr>
        <w:pStyle w:val="ListParagraph"/>
        <w:rPr>
          <w:rFonts w:cs="Arial"/>
          <w:szCs w:val="24"/>
          <w:lang w:eastAsia="en-GB"/>
        </w:rPr>
      </w:pPr>
    </w:p>
    <w:p w14:paraId="251384FF" w14:textId="77777777" w:rsidR="0098041F" w:rsidRPr="0098041F" w:rsidRDefault="0098041F" w:rsidP="0099334D">
      <w:pPr>
        <w:rPr>
          <w:rFonts w:cs="Arial"/>
          <w:b/>
          <w:bCs/>
          <w:szCs w:val="24"/>
          <w:lang w:eastAsia="en-GB"/>
        </w:rPr>
      </w:pPr>
      <w:r w:rsidRPr="0098041F">
        <w:rPr>
          <w:rFonts w:cs="Arial"/>
          <w:b/>
          <w:bCs/>
          <w:szCs w:val="24"/>
          <w:lang w:eastAsia="en-GB"/>
        </w:rPr>
        <w:t>Capital Expenditure</w:t>
      </w:r>
    </w:p>
    <w:p w14:paraId="78E1E407" w14:textId="77777777" w:rsidR="0098041F" w:rsidRDefault="0098041F" w:rsidP="0099334D">
      <w:pPr>
        <w:ind w:left="567" w:hanging="567"/>
        <w:rPr>
          <w:rFonts w:cs="Arial"/>
          <w:bCs/>
          <w:szCs w:val="24"/>
          <w:lang w:eastAsia="en-GB"/>
        </w:rPr>
      </w:pPr>
    </w:p>
    <w:p w14:paraId="1A93DA0F" w14:textId="3879FFDA" w:rsidR="0098041F" w:rsidRPr="00BD1B30" w:rsidRDefault="0098041F" w:rsidP="0099334D">
      <w:pPr>
        <w:pStyle w:val="ListParagraph"/>
        <w:numPr>
          <w:ilvl w:val="0"/>
          <w:numId w:val="13"/>
        </w:numPr>
        <w:ind w:left="0" w:hanging="720"/>
        <w:rPr>
          <w:rFonts w:cs="Arial"/>
          <w:bCs/>
          <w:szCs w:val="24"/>
        </w:rPr>
      </w:pPr>
      <w:r w:rsidRPr="00BD1B30">
        <w:rPr>
          <w:rFonts w:cs="Arial"/>
          <w:bCs/>
          <w:szCs w:val="24"/>
        </w:rPr>
        <w:t>This prudential indicator is a summary of the Council’s capital expenditure plans, both those agreed previously, and those forming part of this budget cycle.</w:t>
      </w:r>
    </w:p>
    <w:p w14:paraId="35212F6A" w14:textId="77777777" w:rsidR="0098041F" w:rsidRPr="007F7A78" w:rsidRDefault="0098041F" w:rsidP="0099334D">
      <w:pPr>
        <w:pStyle w:val="ListParagraph"/>
        <w:tabs>
          <w:tab w:val="left" w:pos="0"/>
        </w:tabs>
        <w:ind w:left="0"/>
        <w:rPr>
          <w:rFonts w:cs="Arial"/>
          <w:szCs w:val="24"/>
        </w:rPr>
      </w:pPr>
    </w:p>
    <w:p w14:paraId="6C729C4B" w14:textId="6F8F0522" w:rsidR="005F2B99" w:rsidRDefault="005F2B99" w:rsidP="0099334D">
      <w:pPr>
        <w:pStyle w:val="ListParagraph"/>
        <w:numPr>
          <w:ilvl w:val="0"/>
          <w:numId w:val="13"/>
        </w:numPr>
        <w:ind w:left="0" w:hanging="720"/>
        <w:rPr>
          <w:rFonts w:cs="Arial"/>
          <w:bCs/>
          <w:szCs w:val="24"/>
        </w:rPr>
      </w:pPr>
      <w:r w:rsidRPr="00BD1B30">
        <w:rPr>
          <w:rFonts w:cs="Arial"/>
          <w:bCs/>
          <w:szCs w:val="24"/>
        </w:rPr>
        <w:t>Tables 1 and 2 below summarise the</w:t>
      </w:r>
      <w:r w:rsidR="0098041F" w:rsidRPr="00BD1B30">
        <w:rPr>
          <w:rFonts w:cs="Arial"/>
          <w:bCs/>
          <w:szCs w:val="24"/>
        </w:rPr>
        <w:t xml:space="preserve"> </w:t>
      </w:r>
      <w:r w:rsidRPr="00BD1B30">
        <w:rPr>
          <w:rFonts w:cs="Arial"/>
          <w:bCs/>
          <w:szCs w:val="24"/>
        </w:rPr>
        <w:t xml:space="preserve">capital expenditure plans of the Authority </w:t>
      </w:r>
      <w:r w:rsidR="0098041F" w:rsidRPr="00BD1B30">
        <w:rPr>
          <w:rFonts w:cs="Arial"/>
          <w:bCs/>
          <w:szCs w:val="24"/>
        </w:rPr>
        <w:t xml:space="preserve">including how this will be financed, </w:t>
      </w:r>
      <w:r w:rsidR="00251E70" w:rsidRPr="00BD1B30">
        <w:rPr>
          <w:rFonts w:cs="Arial"/>
          <w:bCs/>
          <w:szCs w:val="24"/>
        </w:rPr>
        <w:t>which generates</w:t>
      </w:r>
      <w:r w:rsidR="0098041F" w:rsidRPr="00BD1B30">
        <w:rPr>
          <w:rFonts w:cs="Arial"/>
          <w:bCs/>
          <w:szCs w:val="24"/>
        </w:rPr>
        <w:t xml:space="preserve"> the net financing need for the year (borrowing)</w:t>
      </w:r>
      <w:r w:rsidRPr="00BD1B30">
        <w:rPr>
          <w:rFonts w:cs="Arial"/>
          <w:bCs/>
          <w:szCs w:val="24"/>
        </w:rPr>
        <w:t>:</w:t>
      </w:r>
    </w:p>
    <w:p w14:paraId="08E1E2AE" w14:textId="77777777" w:rsidR="0058745D" w:rsidRPr="0058745D" w:rsidRDefault="0058745D" w:rsidP="0099334D">
      <w:pPr>
        <w:pStyle w:val="ListParagraph"/>
        <w:rPr>
          <w:rFonts w:cs="Arial"/>
          <w:bCs/>
          <w:szCs w:val="24"/>
        </w:rPr>
      </w:pPr>
    </w:p>
    <w:p w14:paraId="5CC4E714" w14:textId="0B4E15B4" w:rsidR="0058745D" w:rsidRDefault="0058745D" w:rsidP="0099334D">
      <w:pPr>
        <w:rPr>
          <w:rFonts w:cs="Arial"/>
          <w:bCs/>
          <w:szCs w:val="24"/>
        </w:rPr>
      </w:pPr>
    </w:p>
    <w:p w14:paraId="39115BE0" w14:textId="24450728" w:rsidR="005F2B99" w:rsidRPr="005F2B99" w:rsidRDefault="005F2B99" w:rsidP="005F2B99">
      <w:pPr>
        <w:rPr>
          <w:rFonts w:cs="Arial"/>
          <w:sz w:val="20"/>
        </w:rPr>
      </w:pPr>
      <w:bookmarkStart w:id="0" w:name="_Hlk126914755"/>
      <w:r w:rsidRPr="005F2B99">
        <w:rPr>
          <w:rFonts w:cs="Arial"/>
          <w:sz w:val="20"/>
        </w:rPr>
        <w:lastRenderedPageBreak/>
        <w:t>Table 1: Capital Expenditure</w:t>
      </w:r>
    </w:p>
    <w:p w14:paraId="47EA66C7" w14:textId="39E428A0" w:rsidR="00820040" w:rsidRDefault="0058745D" w:rsidP="00251E70">
      <w:pPr>
        <w:pStyle w:val="ListParagraph"/>
        <w:tabs>
          <w:tab w:val="left" w:pos="0"/>
        </w:tabs>
        <w:ind w:left="0"/>
        <w:jc w:val="both"/>
        <w:rPr>
          <w:rFonts w:cs="Arial"/>
          <w:szCs w:val="24"/>
        </w:rPr>
      </w:pPr>
      <w:r w:rsidRPr="0058745D">
        <w:rPr>
          <w:noProof/>
        </w:rPr>
        <w:drawing>
          <wp:inline distT="0" distB="0" distL="0" distR="0" wp14:anchorId="67A5F436" wp14:editId="6EADE829">
            <wp:extent cx="5276215" cy="118745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6215" cy="1187450"/>
                    </a:xfrm>
                    <a:prstGeom prst="rect">
                      <a:avLst/>
                    </a:prstGeom>
                    <a:noFill/>
                    <a:ln>
                      <a:noFill/>
                    </a:ln>
                  </pic:spPr>
                </pic:pic>
              </a:graphicData>
            </a:graphic>
          </wp:inline>
        </w:drawing>
      </w:r>
    </w:p>
    <w:p w14:paraId="2C533508" w14:textId="687EA1A4" w:rsidR="007B5193" w:rsidRDefault="007B5193" w:rsidP="00251E70">
      <w:pPr>
        <w:pStyle w:val="ListParagraph"/>
        <w:tabs>
          <w:tab w:val="left" w:pos="0"/>
        </w:tabs>
        <w:ind w:left="0"/>
        <w:jc w:val="both"/>
        <w:rPr>
          <w:rFonts w:cs="Arial"/>
          <w:sz w:val="20"/>
        </w:rPr>
      </w:pPr>
    </w:p>
    <w:p w14:paraId="4E7E3516" w14:textId="41ADBA45" w:rsidR="005F2B99" w:rsidRDefault="005F2B99" w:rsidP="00251E70">
      <w:pPr>
        <w:pStyle w:val="ListParagraph"/>
        <w:tabs>
          <w:tab w:val="left" w:pos="0"/>
        </w:tabs>
        <w:ind w:left="0"/>
        <w:jc w:val="both"/>
        <w:rPr>
          <w:rFonts w:cs="Arial"/>
          <w:szCs w:val="24"/>
        </w:rPr>
      </w:pPr>
      <w:r w:rsidRPr="005F2B99">
        <w:rPr>
          <w:rFonts w:cs="Arial"/>
          <w:sz w:val="20"/>
        </w:rPr>
        <w:t>Table 2: Financing of Capital Expenditur</w:t>
      </w:r>
      <w:r w:rsidR="00820040">
        <w:rPr>
          <w:rFonts w:cs="Arial"/>
          <w:sz w:val="20"/>
        </w:rPr>
        <w:t>e</w:t>
      </w:r>
    </w:p>
    <w:p w14:paraId="50A1F46B" w14:textId="25C6C75F" w:rsidR="00820040" w:rsidRPr="0098041F" w:rsidRDefault="00EF01BD" w:rsidP="00251E70">
      <w:pPr>
        <w:pStyle w:val="ListParagraph"/>
        <w:tabs>
          <w:tab w:val="left" w:pos="0"/>
        </w:tabs>
        <w:ind w:left="0"/>
        <w:jc w:val="both"/>
        <w:rPr>
          <w:rFonts w:cs="Arial"/>
          <w:szCs w:val="24"/>
        </w:rPr>
      </w:pPr>
      <w:r w:rsidRPr="00EF01BD">
        <w:rPr>
          <w:noProof/>
        </w:rPr>
        <w:drawing>
          <wp:inline distT="0" distB="0" distL="0" distR="0" wp14:anchorId="40856DDF" wp14:editId="59E0AB25">
            <wp:extent cx="5276215" cy="3571875"/>
            <wp:effectExtent l="0" t="0" r="63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6215" cy="3571875"/>
                    </a:xfrm>
                    <a:prstGeom prst="rect">
                      <a:avLst/>
                    </a:prstGeom>
                    <a:noFill/>
                    <a:ln>
                      <a:noFill/>
                    </a:ln>
                  </pic:spPr>
                </pic:pic>
              </a:graphicData>
            </a:graphic>
          </wp:inline>
        </w:drawing>
      </w:r>
    </w:p>
    <w:p w14:paraId="30F0F35D" w14:textId="77777777" w:rsidR="0098041F" w:rsidRPr="0039072F" w:rsidRDefault="0098041F" w:rsidP="0098041F">
      <w:pPr>
        <w:pStyle w:val="subhead"/>
        <w:numPr>
          <w:ilvl w:val="0"/>
          <w:numId w:val="0"/>
        </w:numPr>
        <w:ind w:left="360" w:hanging="360"/>
        <w:jc w:val="left"/>
        <w:rPr>
          <w:noProof w:val="0"/>
          <w:sz w:val="24"/>
          <w:szCs w:val="24"/>
        </w:rPr>
      </w:pPr>
      <w:bookmarkStart w:id="1" w:name="_Toc60749545"/>
      <w:bookmarkEnd w:id="0"/>
      <w:r w:rsidRPr="0039072F">
        <w:rPr>
          <w:noProof w:val="0"/>
          <w:sz w:val="24"/>
          <w:szCs w:val="24"/>
        </w:rPr>
        <w:t>The Council’s borrowing need (Capital Financing Requirement)</w:t>
      </w:r>
      <w:bookmarkEnd w:id="1"/>
    </w:p>
    <w:p w14:paraId="26B50F6D" w14:textId="20D589CC" w:rsidR="0098041F" w:rsidRPr="00BD1B30" w:rsidRDefault="0098041F" w:rsidP="0099334D">
      <w:pPr>
        <w:pStyle w:val="ListParagraph"/>
        <w:numPr>
          <w:ilvl w:val="0"/>
          <w:numId w:val="13"/>
        </w:numPr>
        <w:ind w:left="0" w:hanging="720"/>
        <w:rPr>
          <w:rFonts w:cs="Arial"/>
          <w:bCs/>
          <w:szCs w:val="24"/>
        </w:rPr>
      </w:pPr>
      <w:r w:rsidRPr="00BD1B30">
        <w:rPr>
          <w:rFonts w:cs="Arial"/>
          <w:bCs/>
          <w:szCs w:val="24"/>
        </w:rPr>
        <w:t>The second prudential indicator is the Council’s Capital Financing Requirement (CFR).  The CFR is simply the total historic outstanding capital expenditure which has not yet been paid for from either revenue or capital resources. It is essentially a measure of the Council’s indebtedness and</w:t>
      </w:r>
      <w:r w:rsidR="00826D92" w:rsidRPr="00BD1B30">
        <w:rPr>
          <w:rFonts w:cs="Arial"/>
          <w:bCs/>
          <w:szCs w:val="24"/>
        </w:rPr>
        <w:t xml:space="preserve"> therefore</w:t>
      </w:r>
      <w:r w:rsidRPr="00BD1B30">
        <w:rPr>
          <w:rFonts w:cs="Arial"/>
          <w:bCs/>
          <w:szCs w:val="24"/>
        </w:rPr>
        <w:t xml:space="preserve"> its underlying borrowing need.  Any capital expenditure</w:t>
      </w:r>
      <w:r w:rsidR="00826D92" w:rsidRPr="00BD1B30">
        <w:rPr>
          <w:rFonts w:cs="Arial"/>
          <w:bCs/>
          <w:szCs w:val="24"/>
        </w:rPr>
        <w:t xml:space="preserve"> in tables 1 and 2</w:t>
      </w:r>
      <w:r w:rsidRPr="00BD1B30">
        <w:rPr>
          <w:rFonts w:cs="Arial"/>
          <w:bCs/>
          <w:szCs w:val="24"/>
        </w:rPr>
        <w:t xml:space="preserve"> above, which has not immediately been paid for through a revenue or capital resource, will increase the CFR.  </w:t>
      </w:r>
    </w:p>
    <w:p w14:paraId="0B1D9DDF" w14:textId="77777777" w:rsidR="0098041F" w:rsidRPr="004F56E4" w:rsidRDefault="0098041F" w:rsidP="0099334D">
      <w:pPr>
        <w:pStyle w:val="ListParagraph"/>
        <w:tabs>
          <w:tab w:val="left" w:pos="0"/>
        </w:tabs>
        <w:ind w:left="0"/>
        <w:rPr>
          <w:rFonts w:cs="Arial"/>
          <w:szCs w:val="24"/>
        </w:rPr>
      </w:pPr>
    </w:p>
    <w:p w14:paraId="0A3E1C40" w14:textId="43F76729" w:rsidR="0098041F" w:rsidRPr="00BD1B30" w:rsidRDefault="0098041F" w:rsidP="0099334D">
      <w:pPr>
        <w:pStyle w:val="ListParagraph"/>
        <w:numPr>
          <w:ilvl w:val="0"/>
          <w:numId w:val="13"/>
        </w:numPr>
        <w:ind w:left="0" w:hanging="720"/>
        <w:rPr>
          <w:rFonts w:cs="Arial"/>
          <w:bCs/>
          <w:szCs w:val="24"/>
        </w:rPr>
      </w:pPr>
      <w:r w:rsidRPr="00BD1B30">
        <w:rPr>
          <w:rFonts w:cs="Arial"/>
          <w:bCs/>
          <w:szCs w:val="24"/>
        </w:rPr>
        <w:t xml:space="preserve">The CFR includes any other </w:t>
      </w:r>
      <w:proofErr w:type="gramStart"/>
      <w:r w:rsidRPr="00BD1B30">
        <w:rPr>
          <w:rFonts w:cs="Arial"/>
          <w:bCs/>
          <w:szCs w:val="24"/>
        </w:rPr>
        <w:t>long term</w:t>
      </w:r>
      <w:proofErr w:type="gramEnd"/>
      <w:r w:rsidRPr="00BD1B30">
        <w:rPr>
          <w:rFonts w:cs="Arial"/>
          <w:bCs/>
          <w:szCs w:val="24"/>
        </w:rPr>
        <w:t xml:space="preserve"> liabilities (e.g. PFI or finance leases). Whilst these increase the CFR, and therefore the Council’s borrowing requirement, these types of </w:t>
      </w:r>
      <w:r w:rsidR="00024543" w:rsidRPr="00BD1B30">
        <w:rPr>
          <w:rFonts w:cs="Arial"/>
          <w:bCs/>
          <w:szCs w:val="24"/>
        </w:rPr>
        <w:t>schemes</w:t>
      </w:r>
      <w:r w:rsidRPr="00BD1B30">
        <w:rPr>
          <w:rFonts w:cs="Arial"/>
          <w:bCs/>
          <w:szCs w:val="24"/>
        </w:rPr>
        <w:t xml:space="preserve"> include a funding facility and so the Council is not required to borrow separately for them. </w:t>
      </w:r>
      <w:r w:rsidR="00BE7C16" w:rsidRPr="00CB090A">
        <w:rPr>
          <w:rFonts w:cs="Arial"/>
          <w:bCs/>
          <w:szCs w:val="24"/>
        </w:rPr>
        <w:t xml:space="preserve">As </w:t>
      </w:r>
      <w:proofErr w:type="gramStart"/>
      <w:r w:rsidR="00BE7C16" w:rsidRPr="00CB090A">
        <w:rPr>
          <w:rFonts w:cs="Arial"/>
          <w:bCs/>
          <w:szCs w:val="24"/>
        </w:rPr>
        <w:t>at</w:t>
      </w:r>
      <w:proofErr w:type="gramEnd"/>
      <w:r w:rsidR="00BE7C16" w:rsidRPr="00CB090A">
        <w:rPr>
          <w:rFonts w:cs="Arial"/>
          <w:bCs/>
          <w:szCs w:val="24"/>
        </w:rPr>
        <w:t xml:space="preserve"> 31st March 202</w:t>
      </w:r>
      <w:r w:rsidR="005E706C">
        <w:rPr>
          <w:rFonts w:cs="Arial"/>
          <w:bCs/>
          <w:szCs w:val="24"/>
        </w:rPr>
        <w:t>4</w:t>
      </w:r>
      <w:r w:rsidR="00BE7C16" w:rsidRPr="00CB090A">
        <w:rPr>
          <w:rFonts w:cs="Arial"/>
          <w:bCs/>
          <w:szCs w:val="24"/>
        </w:rPr>
        <w:t xml:space="preserve"> t</w:t>
      </w:r>
      <w:r w:rsidRPr="00CB090A">
        <w:rPr>
          <w:rFonts w:cs="Arial"/>
          <w:bCs/>
          <w:szCs w:val="24"/>
        </w:rPr>
        <w:t xml:space="preserve">he Council </w:t>
      </w:r>
      <w:r w:rsidR="00BE7C16" w:rsidRPr="00CB090A">
        <w:rPr>
          <w:rFonts w:cs="Arial"/>
          <w:bCs/>
          <w:szCs w:val="24"/>
        </w:rPr>
        <w:t>is forecast to have</w:t>
      </w:r>
      <w:r w:rsidRPr="00CB090A">
        <w:rPr>
          <w:rFonts w:cs="Arial"/>
          <w:bCs/>
          <w:szCs w:val="24"/>
        </w:rPr>
        <w:t xml:space="preserve"> £</w:t>
      </w:r>
      <w:r w:rsidR="00EA60F0" w:rsidRPr="00CB090A">
        <w:rPr>
          <w:rFonts w:cs="Arial"/>
          <w:bCs/>
          <w:szCs w:val="24"/>
        </w:rPr>
        <w:t>1</w:t>
      </w:r>
      <w:r w:rsidR="005E706C">
        <w:rPr>
          <w:rFonts w:cs="Arial"/>
          <w:bCs/>
          <w:szCs w:val="24"/>
        </w:rPr>
        <w:t>4</w:t>
      </w:r>
      <w:r w:rsidRPr="00CB090A">
        <w:rPr>
          <w:rFonts w:cs="Arial"/>
          <w:bCs/>
          <w:szCs w:val="24"/>
        </w:rPr>
        <w:t>m of such schemes within the CFR</w:t>
      </w:r>
      <w:r w:rsidRPr="00BD1B30">
        <w:rPr>
          <w:rFonts w:cs="Arial"/>
          <w:bCs/>
          <w:szCs w:val="24"/>
        </w:rPr>
        <w:t>.</w:t>
      </w:r>
    </w:p>
    <w:p w14:paraId="0BCE8B7C" w14:textId="77777777" w:rsidR="0098041F" w:rsidRPr="002739E6" w:rsidRDefault="0098041F" w:rsidP="0099334D">
      <w:pPr>
        <w:pStyle w:val="ListParagraph"/>
        <w:tabs>
          <w:tab w:val="left" w:pos="0"/>
        </w:tabs>
        <w:ind w:left="0"/>
        <w:rPr>
          <w:rFonts w:cs="Arial"/>
          <w:szCs w:val="24"/>
        </w:rPr>
      </w:pPr>
    </w:p>
    <w:p w14:paraId="240049F6" w14:textId="64856E1A" w:rsidR="00826D92" w:rsidRDefault="0098041F" w:rsidP="0099334D">
      <w:pPr>
        <w:pStyle w:val="ListParagraph"/>
        <w:numPr>
          <w:ilvl w:val="0"/>
          <w:numId w:val="13"/>
        </w:numPr>
        <w:ind w:left="0" w:hanging="720"/>
        <w:rPr>
          <w:rFonts w:cs="Arial"/>
          <w:bCs/>
          <w:szCs w:val="24"/>
        </w:rPr>
      </w:pPr>
      <w:r w:rsidRPr="00BD1B30">
        <w:rPr>
          <w:rFonts w:cs="Arial"/>
          <w:bCs/>
          <w:szCs w:val="24"/>
        </w:rPr>
        <w:t>The CFR does not increase indefinitely, as the minimum revenue provision (MRP) is a statutory annual revenue charge which broadly reduces the</w:t>
      </w:r>
      <w:r w:rsidR="00826D92" w:rsidRPr="00BD1B30">
        <w:rPr>
          <w:rFonts w:cs="Arial"/>
          <w:bCs/>
          <w:szCs w:val="24"/>
        </w:rPr>
        <w:t xml:space="preserve"> Council’s</w:t>
      </w:r>
      <w:r w:rsidRPr="00BD1B30">
        <w:rPr>
          <w:rFonts w:cs="Arial"/>
          <w:bCs/>
          <w:szCs w:val="24"/>
        </w:rPr>
        <w:t xml:space="preserve"> indebtedness in line with each asset’s life, and so charges the economic consumption of capital assets as they are used.</w:t>
      </w:r>
    </w:p>
    <w:p w14:paraId="6DD99F2E" w14:textId="77777777" w:rsidR="005E706C" w:rsidRPr="005E706C" w:rsidRDefault="005E706C" w:rsidP="0099334D">
      <w:pPr>
        <w:pStyle w:val="ListParagraph"/>
        <w:rPr>
          <w:rFonts w:cs="Arial"/>
          <w:bCs/>
          <w:szCs w:val="24"/>
        </w:rPr>
      </w:pPr>
    </w:p>
    <w:p w14:paraId="6DDDB79B" w14:textId="037E9E4A" w:rsidR="005E706C" w:rsidRDefault="005E706C" w:rsidP="0099334D">
      <w:pPr>
        <w:pStyle w:val="ListParagraph"/>
        <w:ind w:left="0"/>
        <w:rPr>
          <w:rFonts w:cs="Arial"/>
          <w:bCs/>
          <w:szCs w:val="24"/>
        </w:rPr>
      </w:pPr>
    </w:p>
    <w:p w14:paraId="2B8B3621" w14:textId="16A86123" w:rsidR="005E706C" w:rsidRDefault="005E706C" w:rsidP="005E706C">
      <w:pPr>
        <w:pStyle w:val="ListParagraph"/>
        <w:ind w:left="0"/>
        <w:jc w:val="both"/>
        <w:rPr>
          <w:rFonts w:cs="Arial"/>
          <w:bCs/>
          <w:szCs w:val="24"/>
        </w:rPr>
      </w:pPr>
    </w:p>
    <w:p w14:paraId="1EA9C501" w14:textId="053D6551" w:rsidR="00826D92" w:rsidRDefault="0098041F" w:rsidP="0064287C">
      <w:pPr>
        <w:pStyle w:val="ListParagraph"/>
        <w:numPr>
          <w:ilvl w:val="0"/>
          <w:numId w:val="13"/>
        </w:numPr>
        <w:ind w:left="0" w:hanging="720"/>
        <w:jc w:val="both"/>
        <w:rPr>
          <w:rFonts w:cs="Arial"/>
          <w:bCs/>
          <w:szCs w:val="24"/>
        </w:rPr>
      </w:pPr>
      <w:r w:rsidRPr="00BD1B30">
        <w:rPr>
          <w:rFonts w:cs="Arial"/>
          <w:bCs/>
          <w:szCs w:val="24"/>
        </w:rPr>
        <w:t>The Council is asked to approve the CFR projections below</w:t>
      </w:r>
      <w:r w:rsidR="001C18A1" w:rsidRPr="00BD1B30">
        <w:rPr>
          <w:rFonts w:cs="Arial"/>
          <w:bCs/>
          <w:szCs w:val="24"/>
        </w:rPr>
        <w:t xml:space="preserve"> (included within the Prudential Indicators)</w:t>
      </w:r>
      <w:r w:rsidRPr="00BD1B30">
        <w:rPr>
          <w:rFonts w:cs="Arial"/>
          <w:bCs/>
          <w:szCs w:val="24"/>
        </w:rPr>
        <w:t>:</w:t>
      </w:r>
    </w:p>
    <w:p w14:paraId="32D848EA" w14:textId="364681F7" w:rsidR="00EA60F0" w:rsidRDefault="00EA60F0" w:rsidP="00EA60F0">
      <w:pPr>
        <w:rPr>
          <w:rFonts w:cs="Arial"/>
          <w:szCs w:val="24"/>
        </w:rPr>
      </w:pPr>
    </w:p>
    <w:p w14:paraId="19AA3C4E" w14:textId="633439E7" w:rsidR="00EA60F0" w:rsidRPr="00E13158" w:rsidRDefault="00EA60F0" w:rsidP="00E13158">
      <w:pPr>
        <w:rPr>
          <w:rFonts w:cs="Arial"/>
          <w:sz w:val="20"/>
        </w:rPr>
      </w:pPr>
      <w:r w:rsidRPr="00EA60F0">
        <w:rPr>
          <w:rFonts w:cs="Arial"/>
          <w:sz w:val="20"/>
        </w:rPr>
        <w:t>Table 3: Capital Financing Requirement</w:t>
      </w:r>
    </w:p>
    <w:p w14:paraId="4EFC5125" w14:textId="2579B77D" w:rsidR="00E13158" w:rsidRDefault="00EF01BD" w:rsidP="00EA60F0">
      <w:pPr>
        <w:pStyle w:val="ListParagraph"/>
        <w:tabs>
          <w:tab w:val="left" w:pos="0"/>
        </w:tabs>
        <w:ind w:left="0"/>
        <w:jc w:val="both"/>
        <w:rPr>
          <w:rFonts w:cs="Arial"/>
          <w:szCs w:val="24"/>
        </w:rPr>
      </w:pPr>
      <w:r w:rsidRPr="00EF01BD">
        <w:rPr>
          <w:noProof/>
        </w:rPr>
        <w:drawing>
          <wp:inline distT="0" distB="0" distL="0" distR="0" wp14:anchorId="4EBDE915" wp14:editId="3F45CF31">
            <wp:extent cx="5276215" cy="1773555"/>
            <wp:effectExtent l="0" t="0" r="63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6215" cy="1773555"/>
                    </a:xfrm>
                    <a:prstGeom prst="rect">
                      <a:avLst/>
                    </a:prstGeom>
                    <a:noFill/>
                    <a:ln>
                      <a:noFill/>
                    </a:ln>
                  </pic:spPr>
                </pic:pic>
              </a:graphicData>
            </a:graphic>
          </wp:inline>
        </w:drawing>
      </w:r>
    </w:p>
    <w:p w14:paraId="20A0BE2F" w14:textId="021685FB" w:rsidR="00FD6CA1" w:rsidRPr="0039072F" w:rsidRDefault="00FD6CA1" w:rsidP="00FD6CA1">
      <w:pPr>
        <w:pStyle w:val="subhead"/>
        <w:numPr>
          <w:ilvl w:val="0"/>
          <w:numId w:val="0"/>
        </w:numPr>
        <w:ind w:left="360" w:hanging="360"/>
        <w:rPr>
          <w:sz w:val="24"/>
          <w:szCs w:val="24"/>
        </w:rPr>
      </w:pPr>
      <w:r>
        <w:rPr>
          <w:sz w:val="24"/>
          <w:szCs w:val="24"/>
        </w:rPr>
        <w:t>Liability Benchmark</w:t>
      </w:r>
    </w:p>
    <w:p w14:paraId="5004BA26" w14:textId="77777777" w:rsidR="00DC6C65" w:rsidRDefault="005E706C" w:rsidP="0099334D">
      <w:pPr>
        <w:pStyle w:val="ListParagraph"/>
        <w:numPr>
          <w:ilvl w:val="0"/>
          <w:numId w:val="13"/>
        </w:numPr>
        <w:ind w:left="0" w:hanging="720"/>
        <w:rPr>
          <w:rFonts w:cs="Arial"/>
          <w:bCs/>
          <w:szCs w:val="24"/>
        </w:rPr>
      </w:pPr>
      <w:bookmarkStart w:id="2" w:name="_Toc60749546"/>
      <w:r>
        <w:rPr>
          <w:rFonts w:cs="Arial"/>
          <w:bCs/>
          <w:szCs w:val="24"/>
        </w:rPr>
        <w:t>The Liability Benchmark was introduced as a</w:t>
      </w:r>
      <w:r w:rsidR="00FD6CA1" w:rsidRPr="00CB090A">
        <w:rPr>
          <w:rFonts w:cs="Arial"/>
          <w:bCs/>
          <w:szCs w:val="24"/>
        </w:rPr>
        <w:t xml:space="preserve"> new Prudential Indicator</w:t>
      </w:r>
      <w:r>
        <w:rPr>
          <w:rFonts w:cs="Arial"/>
          <w:bCs/>
          <w:szCs w:val="24"/>
        </w:rPr>
        <w:t xml:space="preserve"> in 2023/24 following the revisions to the CIPFA Prudential Code and Treasury Management Code of Practice in 2021.</w:t>
      </w:r>
      <w:r w:rsidR="00DC6C65">
        <w:rPr>
          <w:rFonts w:cs="Arial"/>
          <w:bCs/>
          <w:szCs w:val="24"/>
        </w:rPr>
        <w:t xml:space="preserve">  </w:t>
      </w:r>
    </w:p>
    <w:p w14:paraId="474D02F8" w14:textId="77777777" w:rsidR="00DC6C65" w:rsidRDefault="00DC6C65" w:rsidP="0099334D">
      <w:pPr>
        <w:pStyle w:val="ListParagraph"/>
        <w:ind w:left="0"/>
        <w:rPr>
          <w:rFonts w:cs="Arial"/>
          <w:bCs/>
          <w:szCs w:val="24"/>
        </w:rPr>
      </w:pPr>
    </w:p>
    <w:p w14:paraId="0F5E242C" w14:textId="0F08FE61" w:rsidR="00DC6C65" w:rsidRDefault="00DC6C65" w:rsidP="0099334D">
      <w:pPr>
        <w:pStyle w:val="ListParagraph"/>
        <w:numPr>
          <w:ilvl w:val="0"/>
          <w:numId w:val="13"/>
        </w:numPr>
        <w:ind w:left="0" w:hanging="720"/>
        <w:rPr>
          <w:rFonts w:cs="Arial"/>
          <w:bCs/>
          <w:szCs w:val="24"/>
        </w:rPr>
      </w:pPr>
      <w:r w:rsidRPr="00DC6C65">
        <w:rPr>
          <w:rFonts w:cs="Arial"/>
          <w:bCs/>
          <w:szCs w:val="24"/>
        </w:rPr>
        <w:t>The Liability Benchmark provides a forecast of the external borrowing required to meet approved prudential borrowing.  It c</w:t>
      </w:r>
      <w:r w:rsidR="00FD6CA1" w:rsidRPr="00CB090A">
        <w:rPr>
          <w:rFonts w:cs="Arial"/>
          <w:bCs/>
          <w:szCs w:val="24"/>
        </w:rPr>
        <w:t xml:space="preserve">ompares </w:t>
      </w:r>
      <w:r>
        <w:rPr>
          <w:rFonts w:cs="Arial"/>
          <w:bCs/>
          <w:szCs w:val="24"/>
        </w:rPr>
        <w:t xml:space="preserve">the </w:t>
      </w:r>
      <w:r w:rsidR="00FD6CA1" w:rsidRPr="00CB090A">
        <w:rPr>
          <w:rFonts w:cs="Arial"/>
          <w:bCs/>
          <w:szCs w:val="24"/>
        </w:rPr>
        <w:t>approved</w:t>
      </w:r>
      <w:r w:rsidR="005E706C">
        <w:rPr>
          <w:rFonts w:cs="Arial"/>
          <w:bCs/>
          <w:szCs w:val="24"/>
        </w:rPr>
        <w:t xml:space="preserve"> capital</w:t>
      </w:r>
      <w:r>
        <w:rPr>
          <w:rFonts w:cs="Arial"/>
          <w:bCs/>
          <w:szCs w:val="24"/>
        </w:rPr>
        <w:t xml:space="preserve"> expenditure</w:t>
      </w:r>
      <w:r w:rsidR="00FD6CA1" w:rsidRPr="00CB090A">
        <w:rPr>
          <w:rFonts w:cs="Arial"/>
          <w:bCs/>
          <w:szCs w:val="24"/>
        </w:rPr>
        <w:t xml:space="preserve"> commitments of the Authority </w:t>
      </w:r>
      <w:r>
        <w:rPr>
          <w:rFonts w:cs="Arial"/>
          <w:bCs/>
          <w:szCs w:val="24"/>
        </w:rPr>
        <w:t>to</w:t>
      </w:r>
      <w:r w:rsidR="00FD6CA1" w:rsidRPr="00CB090A">
        <w:rPr>
          <w:rFonts w:cs="Arial"/>
          <w:bCs/>
          <w:szCs w:val="24"/>
        </w:rPr>
        <w:t xml:space="preserve"> the</w:t>
      </w:r>
      <w:r>
        <w:rPr>
          <w:rFonts w:cs="Arial"/>
          <w:bCs/>
          <w:szCs w:val="24"/>
        </w:rPr>
        <w:t xml:space="preserve"> current</w:t>
      </w:r>
      <w:r w:rsidR="00FD6CA1" w:rsidRPr="00CB090A">
        <w:rPr>
          <w:rFonts w:cs="Arial"/>
          <w:bCs/>
          <w:szCs w:val="24"/>
        </w:rPr>
        <w:t xml:space="preserve"> external borrowing portfolio</w:t>
      </w:r>
      <w:r w:rsidR="00E630F7" w:rsidRPr="00CB090A">
        <w:rPr>
          <w:rFonts w:cs="Arial"/>
          <w:bCs/>
          <w:szCs w:val="24"/>
        </w:rPr>
        <w:t xml:space="preserve"> over the long term</w:t>
      </w:r>
      <w:r>
        <w:rPr>
          <w:rFonts w:cs="Arial"/>
          <w:bCs/>
          <w:szCs w:val="24"/>
        </w:rPr>
        <w:t xml:space="preserve"> to identi</w:t>
      </w:r>
      <w:r w:rsidR="00074419">
        <w:rPr>
          <w:rFonts w:cs="Arial"/>
          <w:bCs/>
          <w:szCs w:val="24"/>
        </w:rPr>
        <w:t>fy</w:t>
      </w:r>
      <w:r>
        <w:rPr>
          <w:rFonts w:cs="Arial"/>
          <w:bCs/>
          <w:szCs w:val="24"/>
        </w:rPr>
        <w:t xml:space="preserve"> the borrowing required when taking a net book approach to treasury management.</w:t>
      </w:r>
      <w:r w:rsidR="00074419">
        <w:rPr>
          <w:rFonts w:cs="Arial"/>
          <w:bCs/>
          <w:szCs w:val="24"/>
        </w:rPr>
        <w:t xml:space="preserve">  </w:t>
      </w:r>
      <w:r>
        <w:rPr>
          <w:rFonts w:cs="Arial"/>
          <w:bCs/>
          <w:szCs w:val="24"/>
        </w:rPr>
        <w:t>The Liability Benchmark is</w:t>
      </w:r>
      <w:r w:rsidR="00074419">
        <w:rPr>
          <w:rFonts w:cs="Arial"/>
          <w:bCs/>
          <w:szCs w:val="24"/>
        </w:rPr>
        <w:t xml:space="preserve"> therefore</w:t>
      </w:r>
      <w:r>
        <w:rPr>
          <w:rFonts w:cs="Arial"/>
          <w:bCs/>
          <w:szCs w:val="24"/>
        </w:rPr>
        <w:t xml:space="preserve"> used to inform future borrowing decisions based on an integrated borrowing and investment strategy.</w:t>
      </w:r>
    </w:p>
    <w:p w14:paraId="7E8B9DEF" w14:textId="4D36E6EA" w:rsidR="00DC6C65" w:rsidRDefault="00DC6C65" w:rsidP="0099334D">
      <w:pPr>
        <w:pStyle w:val="ListParagraph"/>
        <w:ind w:left="0"/>
        <w:rPr>
          <w:rFonts w:cs="Arial"/>
          <w:bCs/>
          <w:szCs w:val="24"/>
        </w:rPr>
      </w:pPr>
    </w:p>
    <w:p w14:paraId="604B651C" w14:textId="1E753917" w:rsidR="001C29E1" w:rsidRPr="00CB090A" w:rsidRDefault="00FD6CA1" w:rsidP="0099334D">
      <w:pPr>
        <w:pStyle w:val="ListParagraph"/>
        <w:numPr>
          <w:ilvl w:val="0"/>
          <w:numId w:val="13"/>
        </w:numPr>
        <w:ind w:left="0" w:hanging="720"/>
        <w:rPr>
          <w:rFonts w:cs="Arial"/>
          <w:bCs/>
          <w:szCs w:val="24"/>
        </w:rPr>
      </w:pPr>
      <w:r w:rsidRPr="00CB090A">
        <w:rPr>
          <w:rFonts w:cs="Arial"/>
          <w:bCs/>
          <w:szCs w:val="24"/>
        </w:rPr>
        <w:t xml:space="preserve">The </w:t>
      </w:r>
      <w:r w:rsidR="00E630F7" w:rsidRPr="00CB090A">
        <w:rPr>
          <w:rFonts w:cs="Arial"/>
          <w:bCs/>
          <w:szCs w:val="24"/>
        </w:rPr>
        <w:t>Liability Benchmark</w:t>
      </w:r>
      <w:r w:rsidRPr="00CB090A">
        <w:rPr>
          <w:rFonts w:cs="Arial"/>
          <w:bCs/>
          <w:szCs w:val="24"/>
        </w:rPr>
        <w:t xml:space="preserve"> is made up of 4 components:</w:t>
      </w:r>
    </w:p>
    <w:p w14:paraId="4B7EF7ED" w14:textId="77777777" w:rsidR="001C29E1" w:rsidRPr="00CB090A" w:rsidRDefault="001C29E1" w:rsidP="0099334D">
      <w:pPr>
        <w:pStyle w:val="ListParagraph"/>
        <w:ind w:left="0"/>
        <w:rPr>
          <w:rFonts w:cs="Arial"/>
          <w:bCs/>
          <w:szCs w:val="24"/>
        </w:rPr>
      </w:pPr>
    </w:p>
    <w:p w14:paraId="5E227940" w14:textId="12DB6562" w:rsidR="00FD6CA1" w:rsidRPr="00CB090A" w:rsidRDefault="00FD6CA1" w:rsidP="0099334D">
      <w:pPr>
        <w:pStyle w:val="ListParagraph"/>
        <w:numPr>
          <w:ilvl w:val="0"/>
          <w:numId w:val="1"/>
        </w:numPr>
        <w:autoSpaceDE w:val="0"/>
        <w:autoSpaceDN w:val="0"/>
        <w:adjustRightInd w:val="0"/>
        <w:ind w:left="284" w:hanging="284"/>
        <w:rPr>
          <w:rFonts w:cs="Arial"/>
          <w:szCs w:val="24"/>
          <w:lang w:eastAsia="en-GB"/>
        </w:rPr>
      </w:pPr>
      <w:r w:rsidRPr="00CB090A">
        <w:rPr>
          <w:rFonts w:cs="Arial"/>
          <w:b/>
          <w:bCs/>
          <w:szCs w:val="24"/>
          <w:lang w:eastAsia="en-GB"/>
        </w:rPr>
        <w:t>Existing loan debt outstanding</w:t>
      </w:r>
      <w:r w:rsidRPr="00CB090A">
        <w:rPr>
          <w:rFonts w:cs="Arial"/>
          <w:szCs w:val="24"/>
          <w:lang w:eastAsia="en-GB"/>
        </w:rPr>
        <w:t xml:space="preserve">: the Authority’s existing borrowing portfolio </w:t>
      </w:r>
    </w:p>
    <w:p w14:paraId="6B927A18" w14:textId="1D64668D" w:rsidR="00FD6CA1" w:rsidRPr="00CB090A" w:rsidRDefault="00FD6CA1" w:rsidP="0099334D">
      <w:pPr>
        <w:pStyle w:val="ListParagraph"/>
        <w:numPr>
          <w:ilvl w:val="0"/>
          <w:numId w:val="1"/>
        </w:numPr>
        <w:autoSpaceDE w:val="0"/>
        <w:autoSpaceDN w:val="0"/>
        <w:adjustRightInd w:val="0"/>
        <w:ind w:left="284" w:hanging="284"/>
        <w:rPr>
          <w:rFonts w:cs="Arial"/>
          <w:szCs w:val="24"/>
          <w:lang w:eastAsia="en-GB"/>
        </w:rPr>
      </w:pPr>
      <w:r w:rsidRPr="00CB090A">
        <w:rPr>
          <w:rFonts w:cs="Arial"/>
          <w:b/>
          <w:bCs/>
          <w:szCs w:val="24"/>
          <w:lang w:eastAsia="en-GB"/>
        </w:rPr>
        <w:t>Loans CFR</w:t>
      </w:r>
      <w:r w:rsidRPr="00CB090A">
        <w:rPr>
          <w:rFonts w:cs="Arial"/>
          <w:szCs w:val="24"/>
          <w:lang w:eastAsia="en-GB"/>
        </w:rPr>
        <w:t xml:space="preserve">: </w:t>
      </w:r>
      <w:r w:rsidR="00DA708D" w:rsidRPr="00CB090A">
        <w:rPr>
          <w:rFonts w:cs="Arial"/>
          <w:szCs w:val="24"/>
          <w:lang w:eastAsia="en-GB"/>
        </w:rPr>
        <w:t>the Authority’s CFR adjusted to exclude other long-term liabilities,</w:t>
      </w:r>
      <w:r w:rsidRPr="00CB090A">
        <w:rPr>
          <w:rFonts w:cs="Arial"/>
          <w:szCs w:val="24"/>
          <w:lang w:eastAsia="en-GB"/>
        </w:rPr>
        <w:t xml:space="preserve"> projected into the future based on approved prudential borrowing and planned MRP. </w:t>
      </w:r>
    </w:p>
    <w:p w14:paraId="02BF20D2" w14:textId="77DA20D7" w:rsidR="00FD6CA1" w:rsidRPr="00CB090A" w:rsidRDefault="00FD6CA1" w:rsidP="0099334D">
      <w:pPr>
        <w:pStyle w:val="ListParagraph"/>
        <w:numPr>
          <w:ilvl w:val="0"/>
          <w:numId w:val="1"/>
        </w:numPr>
        <w:autoSpaceDE w:val="0"/>
        <w:autoSpaceDN w:val="0"/>
        <w:adjustRightInd w:val="0"/>
        <w:ind w:left="284" w:hanging="284"/>
        <w:rPr>
          <w:rFonts w:cs="Arial"/>
          <w:szCs w:val="24"/>
          <w:lang w:eastAsia="en-GB"/>
        </w:rPr>
      </w:pPr>
      <w:r w:rsidRPr="00CB090A">
        <w:rPr>
          <w:rFonts w:cs="Arial"/>
          <w:b/>
          <w:bCs/>
          <w:szCs w:val="24"/>
          <w:lang w:eastAsia="en-GB"/>
        </w:rPr>
        <w:t xml:space="preserve">Net </w:t>
      </w:r>
      <w:r w:rsidR="00074419">
        <w:rPr>
          <w:rFonts w:cs="Arial"/>
          <w:b/>
          <w:bCs/>
          <w:szCs w:val="24"/>
          <w:lang w:eastAsia="en-GB"/>
        </w:rPr>
        <w:t>L</w:t>
      </w:r>
      <w:r w:rsidRPr="00CB090A">
        <w:rPr>
          <w:rFonts w:cs="Arial"/>
          <w:b/>
          <w:bCs/>
          <w:szCs w:val="24"/>
          <w:lang w:eastAsia="en-GB"/>
        </w:rPr>
        <w:t xml:space="preserve">oans </w:t>
      </w:r>
      <w:r w:rsidR="00074419">
        <w:rPr>
          <w:rFonts w:cs="Arial"/>
          <w:b/>
          <w:bCs/>
          <w:szCs w:val="24"/>
          <w:lang w:eastAsia="en-GB"/>
        </w:rPr>
        <w:t>R</w:t>
      </w:r>
      <w:r w:rsidRPr="00CB090A">
        <w:rPr>
          <w:rFonts w:cs="Arial"/>
          <w:b/>
          <w:bCs/>
          <w:szCs w:val="24"/>
          <w:lang w:eastAsia="en-GB"/>
        </w:rPr>
        <w:t>equirement:</w:t>
      </w:r>
      <w:r w:rsidRPr="00CB090A">
        <w:rPr>
          <w:rFonts w:cs="Arial"/>
          <w:szCs w:val="24"/>
          <w:lang w:eastAsia="en-GB"/>
        </w:rPr>
        <w:t xml:space="preserve"> </w:t>
      </w:r>
      <w:proofErr w:type="gramStart"/>
      <w:r w:rsidRPr="00CB090A">
        <w:rPr>
          <w:rFonts w:cs="Arial"/>
          <w:szCs w:val="24"/>
          <w:lang w:eastAsia="en-GB"/>
        </w:rPr>
        <w:t>the</w:t>
      </w:r>
      <w:proofErr w:type="gramEnd"/>
      <w:r w:rsidRPr="00CB090A">
        <w:rPr>
          <w:rFonts w:cs="Arial"/>
          <w:szCs w:val="24"/>
          <w:lang w:eastAsia="en-GB"/>
        </w:rPr>
        <w:t xml:space="preserve"> Authority’s gross loan debt less treasury management investments at the last financial year-end, projected into the future and based on its approved prudential borrowing, planned MRP and any other major cash flows forecast. </w:t>
      </w:r>
    </w:p>
    <w:p w14:paraId="2856D1C3" w14:textId="144998E3" w:rsidR="00FD6CA1" w:rsidRPr="00CB090A" w:rsidRDefault="00FD6CA1" w:rsidP="0099334D">
      <w:pPr>
        <w:pStyle w:val="ListParagraph"/>
        <w:numPr>
          <w:ilvl w:val="0"/>
          <w:numId w:val="1"/>
        </w:numPr>
        <w:autoSpaceDE w:val="0"/>
        <w:autoSpaceDN w:val="0"/>
        <w:adjustRightInd w:val="0"/>
        <w:ind w:left="284" w:hanging="284"/>
        <w:rPr>
          <w:rFonts w:cs="Arial"/>
          <w:szCs w:val="24"/>
          <w:lang w:eastAsia="en-GB"/>
        </w:rPr>
      </w:pPr>
      <w:r w:rsidRPr="00CB090A">
        <w:rPr>
          <w:rFonts w:cs="Arial"/>
          <w:b/>
          <w:bCs/>
          <w:szCs w:val="24"/>
          <w:lang w:eastAsia="en-GB"/>
        </w:rPr>
        <w:t xml:space="preserve">Liability </w:t>
      </w:r>
      <w:r w:rsidR="00074419">
        <w:rPr>
          <w:rFonts w:cs="Arial"/>
          <w:b/>
          <w:bCs/>
          <w:szCs w:val="24"/>
          <w:lang w:eastAsia="en-GB"/>
        </w:rPr>
        <w:t>B</w:t>
      </w:r>
      <w:r w:rsidRPr="00CB090A">
        <w:rPr>
          <w:rFonts w:cs="Arial"/>
          <w:b/>
          <w:bCs/>
          <w:szCs w:val="24"/>
          <w:lang w:eastAsia="en-GB"/>
        </w:rPr>
        <w:t xml:space="preserve">enchmark (or </w:t>
      </w:r>
      <w:r w:rsidR="00074419">
        <w:rPr>
          <w:rFonts w:cs="Arial"/>
          <w:b/>
          <w:bCs/>
          <w:szCs w:val="24"/>
          <w:lang w:eastAsia="en-GB"/>
        </w:rPr>
        <w:t>G</w:t>
      </w:r>
      <w:r w:rsidRPr="00CB090A">
        <w:rPr>
          <w:rFonts w:cs="Arial"/>
          <w:b/>
          <w:bCs/>
          <w:szCs w:val="24"/>
          <w:lang w:eastAsia="en-GB"/>
        </w:rPr>
        <w:t xml:space="preserve">ross </w:t>
      </w:r>
      <w:r w:rsidR="00074419">
        <w:rPr>
          <w:rFonts w:cs="Arial"/>
          <w:b/>
          <w:bCs/>
          <w:szCs w:val="24"/>
          <w:lang w:eastAsia="en-GB"/>
        </w:rPr>
        <w:t>L</w:t>
      </w:r>
      <w:r w:rsidRPr="00CB090A">
        <w:rPr>
          <w:rFonts w:cs="Arial"/>
          <w:b/>
          <w:bCs/>
          <w:szCs w:val="24"/>
          <w:lang w:eastAsia="en-GB"/>
        </w:rPr>
        <w:t xml:space="preserve">oans </w:t>
      </w:r>
      <w:r w:rsidR="00074419">
        <w:rPr>
          <w:rFonts w:cs="Arial"/>
          <w:b/>
          <w:bCs/>
          <w:szCs w:val="24"/>
          <w:lang w:eastAsia="en-GB"/>
        </w:rPr>
        <w:t>R</w:t>
      </w:r>
      <w:r w:rsidRPr="00CB090A">
        <w:rPr>
          <w:rFonts w:cs="Arial"/>
          <w:b/>
          <w:bCs/>
          <w:szCs w:val="24"/>
          <w:lang w:eastAsia="en-GB"/>
        </w:rPr>
        <w:t>equirement):</w:t>
      </w:r>
      <w:r w:rsidRPr="00CB090A">
        <w:rPr>
          <w:rFonts w:cs="Arial"/>
          <w:szCs w:val="24"/>
          <w:lang w:eastAsia="en-GB"/>
        </w:rPr>
        <w:t xml:space="preserve"> this equals</w:t>
      </w:r>
      <w:r w:rsidR="00DA708D" w:rsidRPr="00CB090A">
        <w:rPr>
          <w:rFonts w:cs="Arial"/>
          <w:szCs w:val="24"/>
          <w:lang w:eastAsia="en-GB"/>
        </w:rPr>
        <w:t xml:space="preserve"> the</w:t>
      </w:r>
      <w:r w:rsidRPr="00CB090A">
        <w:rPr>
          <w:rFonts w:cs="Arial"/>
          <w:szCs w:val="24"/>
          <w:lang w:eastAsia="en-GB"/>
        </w:rPr>
        <w:t xml:space="preserve"> net loans requirement plus short-term liquidity allowance.</w:t>
      </w:r>
      <w:r w:rsidR="00DA708D" w:rsidRPr="00CB090A">
        <w:rPr>
          <w:rFonts w:cs="Arial"/>
          <w:szCs w:val="24"/>
          <w:lang w:eastAsia="en-GB"/>
        </w:rPr>
        <w:t xml:space="preserve">  The </w:t>
      </w:r>
      <w:proofErr w:type="gramStart"/>
      <w:r w:rsidR="00DA708D" w:rsidRPr="00CB090A">
        <w:rPr>
          <w:rFonts w:cs="Arial"/>
          <w:szCs w:val="24"/>
          <w:lang w:eastAsia="en-GB"/>
        </w:rPr>
        <w:t>short term</w:t>
      </w:r>
      <w:proofErr w:type="gramEnd"/>
      <w:r w:rsidR="00DA708D" w:rsidRPr="00CB090A">
        <w:rPr>
          <w:rFonts w:cs="Arial"/>
          <w:szCs w:val="24"/>
          <w:lang w:eastAsia="en-GB"/>
        </w:rPr>
        <w:t xml:space="preserve"> liquidity allowance is to provide the Authority with an adequate level of treasury investments for liquidity purposes.   </w:t>
      </w:r>
      <w:r w:rsidRPr="00CB090A">
        <w:rPr>
          <w:rFonts w:cs="Arial"/>
          <w:szCs w:val="24"/>
          <w:lang w:eastAsia="en-GB"/>
        </w:rPr>
        <w:t xml:space="preserve"> </w:t>
      </w:r>
    </w:p>
    <w:p w14:paraId="144A5DA3" w14:textId="77777777" w:rsidR="00BD1B30" w:rsidRPr="00CB090A" w:rsidRDefault="00BD1B30" w:rsidP="0099334D">
      <w:pPr>
        <w:pStyle w:val="ListParagraph"/>
        <w:autoSpaceDE w:val="0"/>
        <w:autoSpaceDN w:val="0"/>
        <w:adjustRightInd w:val="0"/>
        <w:ind w:left="284"/>
        <w:rPr>
          <w:rFonts w:cs="Arial"/>
          <w:szCs w:val="24"/>
          <w:lang w:eastAsia="en-GB"/>
        </w:rPr>
      </w:pPr>
    </w:p>
    <w:p w14:paraId="720289EE" w14:textId="6F872F6E" w:rsidR="00DA708D" w:rsidRDefault="00DA708D" w:rsidP="0099334D">
      <w:pPr>
        <w:pStyle w:val="ListParagraph"/>
        <w:numPr>
          <w:ilvl w:val="0"/>
          <w:numId w:val="13"/>
        </w:numPr>
        <w:ind w:left="0" w:hanging="720"/>
        <w:rPr>
          <w:rFonts w:cs="Arial"/>
          <w:bCs/>
          <w:szCs w:val="24"/>
        </w:rPr>
      </w:pPr>
      <w:r w:rsidRPr="00CB090A">
        <w:rPr>
          <w:rFonts w:cs="Arial"/>
          <w:bCs/>
          <w:szCs w:val="24"/>
        </w:rPr>
        <w:t xml:space="preserve">The </w:t>
      </w:r>
      <w:r w:rsidR="00E630F7" w:rsidRPr="00CB090A">
        <w:rPr>
          <w:rFonts w:cs="Arial"/>
          <w:bCs/>
          <w:szCs w:val="24"/>
        </w:rPr>
        <w:t>Liability Benchmark</w:t>
      </w:r>
      <w:r w:rsidRPr="00CB090A">
        <w:rPr>
          <w:rFonts w:cs="Arial"/>
          <w:bCs/>
          <w:szCs w:val="24"/>
        </w:rPr>
        <w:t xml:space="preserve"> is presented as a graph below, and </w:t>
      </w:r>
      <w:r w:rsidR="00023027" w:rsidRPr="00CB090A">
        <w:rPr>
          <w:rFonts w:cs="Arial"/>
          <w:bCs/>
          <w:szCs w:val="24"/>
        </w:rPr>
        <w:t>illustrates</w:t>
      </w:r>
      <w:r w:rsidRPr="00CB090A">
        <w:rPr>
          <w:rFonts w:cs="Arial"/>
          <w:bCs/>
          <w:szCs w:val="24"/>
        </w:rPr>
        <w:t xml:space="preserve"> a borrowing metric which looks at a net book</w:t>
      </w:r>
      <w:r w:rsidR="006B77A1">
        <w:rPr>
          <w:rFonts w:cs="Arial"/>
          <w:bCs/>
          <w:szCs w:val="24"/>
        </w:rPr>
        <w:t xml:space="preserve"> approach to</w:t>
      </w:r>
      <w:r w:rsidRPr="00CB090A">
        <w:rPr>
          <w:rFonts w:cs="Arial"/>
          <w:bCs/>
          <w:szCs w:val="24"/>
        </w:rPr>
        <w:t xml:space="preserve"> treasury management</w:t>
      </w:r>
      <w:r w:rsidR="006B77A1">
        <w:rPr>
          <w:rFonts w:cs="Arial"/>
          <w:bCs/>
          <w:szCs w:val="24"/>
        </w:rPr>
        <w:t xml:space="preserve"> </w:t>
      </w:r>
      <w:r w:rsidRPr="00CB090A">
        <w:rPr>
          <w:rFonts w:cs="Arial"/>
          <w:bCs/>
          <w:szCs w:val="24"/>
        </w:rPr>
        <w:t>where:</w:t>
      </w:r>
    </w:p>
    <w:p w14:paraId="30338340" w14:textId="77777777" w:rsidR="006D0DA5" w:rsidRDefault="006D0DA5" w:rsidP="0099334D">
      <w:pPr>
        <w:pStyle w:val="ListParagraph"/>
        <w:ind w:left="0"/>
        <w:rPr>
          <w:rFonts w:cs="Arial"/>
          <w:bCs/>
          <w:szCs w:val="24"/>
        </w:rPr>
      </w:pPr>
    </w:p>
    <w:p w14:paraId="532F598C" w14:textId="13F9F4EB" w:rsidR="00DA708D" w:rsidRDefault="00DA708D" w:rsidP="0099334D">
      <w:pPr>
        <w:pStyle w:val="ListParagraph"/>
        <w:numPr>
          <w:ilvl w:val="0"/>
          <w:numId w:val="1"/>
        </w:numPr>
        <w:autoSpaceDE w:val="0"/>
        <w:autoSpaceDN w:val="0"/>
        <w:adjustRightInd w:val="0"/>
        <w:ind w:left="284" w:hanging="284"/>
        <w:rPr>
          <w:rFonts w:cs="Arial"/>
          <w:szCs w:val="24"/>
          <w:lang w:eastAsia="en-GB"/>
        </w:rPr>
      </w:pPr>
      <w:r w:rsidRPr="00CB090A">
        <w:rPr>
          <w:rFonts w:cs="Arial"/>
          <w:szCs w:val="24"/>
          <w:lang w:eastAsia="en-GB"/>
        </w:rPr>
        <w:t xml:space="preserve">borrowing and investments are netted down (while maintaining appropriate investments for liquidity purposes) </w:t>
      </w:r>
      <w:proofErr w:type="gramStart"/>
      <w:r w:rsidRPr="00CB090A">
        <w:rPr>
          <w:rFonts w:cs="Arial"/>
          <w:szCs w:val="24"/>
          <w:lang w:eastAsia="en-GB"/>
        </w:rPr>
        <w:t>in order to</w:t>
      </w:r>
      <w:proofErr w:type="gramEnd"/>
      <w:r w:rsidRPr="00CB090A">
        <w:rPr>
          <w:rFonts w:cs="Arial"/>
          <w:szCs w:val="24"/>
          <w:lang w:eastAsia="en-GB"/>
        </w:rPr>
        <w:t xml:space="preserve"> reduce the treasury risks resulting from running debt and investment portfolios at the same </w:t>
      </w:r>
      <w:r w:rsidR="00EF01BD" w:rsidRPr="00CB090A">
        <w:rPr>
          <w:rFonts w:cs="Arial"/>
          <w:szCs w:val="24"/>
          <w:lang w:eastAsia="en-GB"/>
        </w:rPr>
        <w:t>time.</w:t>
      </w:r>
      <w:r w:rsidRPr="00CB090A">
        <w:rPr>
          <w:rFonts w:cs="Arial"/>
          <w:szCs w:val="24"/>
          <w:lang w:eastAsia="en-GB"/>
        </w:rPr>
        <w:t xml:space="preserve"> </w:t>
      </w:r>
    </w:p>
    <w:p w14:paraId="611BB26E" w14:textId="77777777" w:rsidR="006B77A1" w:rsidRPr="00CB090A" w:rsidRDefault="006B77A1" w:rsidP="0099334D">
      <w:pPr>
        <w:pStyle w:val="ListParagraph"/>
        <w:autoSpaceDE w:val="0"/>
        <w:autoSpaceDN w:val="0"/>
        <w:adjustRightInd w:val="0"/>
        <w:ind w:left="284"/>
        <w:rPr>
          <w:rFonts w:cs="Arial"/>
          <w:szCs w:val="24"/>
          <w:lang w:eastAsia="en-GB"/>
        </w:rPr>
      </w:pPr>
    </w:p>
    <w:p w14:paraId="5A8B25E0" w14:textId="5A9CA43C" w:rsidR="00DA708D" w:rsidRPr="00CB090A" w:rsidRDefault="00DA708D" w:rsidP="0099334D">
      <w:pPr>
        <w:pStyle w:val="ListParagraph"/>
        <w:numPr>
          <w:ilvl w:val="0"/>
          <w:numId w:val="1"/>
        </w:numPr>
        <w:autoSpaceDE w:val="0"/>
        <w:autoSpaceDN w:val="0"/>
        <w:adjustRightInd w:val="0"/>
        <w:ind w:left="284" w:hanging="284"/>
        <w:rPr>
          <w:rFonts w:cs="Arial"/>
          <w:szCs w:val="24"/>
          <w:lang w:eastAsia="en-GB"/>
        </w:rPr>
      </w:pPr>
      <w:r w:rsidRPr="00CB090A">
        <w:rPr>
          <w:rFonts w:cs="Arial"/>
          <w:szCs w:val="24"/>
          <w:lang w:eastAsia="en-GB"/>
        </w:rPr>
        <w:t>the management of borrowing and investments is integrated so that both are reviewed together when monitoring and managing treasury risks.</w:t>
      </w:r>
    </w:p>
    <w:p w14:paraId="46556C4F" w14:textId="77777777" w:rsidR="00DA708D" w:rsidRPr="00CB090A" w:rsidRDefault="00DA708D" w:rsidP="0099334D">
      <w:pPr>
        <w:pStyle w:val="ListParagraph"/>
        <w:ind w:left="0"/>
        <w:rPr>
          <w:rFonts w:cs="Arial"/>
          <w:bCs/>
          <w:szCs w:val="24"/>
        </w:rPr>
      </w:pPr>
    </w:p>
    <w:p w14:paraId="060D0ECF" w14:textId="042E4F64" w:rsidR="00DA708D" w:rsidRPr="00CB090A" w:rsidRDefault="001C29E1" w:rsidP="0099334D">
      <w:pPr>
        <w:pStyle w:val="ListParagraph"/>
        <w:numPr>
          <w:ilvl w:val="0"/>
          <w:numId w:val="13"/>
        </w:numPr>
        <w:ind w:left="0" w:hanging="720"/>
        <w:rPr>
          <w:rFonts w:cs="Arial"/>
          <w:bCs/>
          <w:szCs w:val="24"/>
        </w:rPr>
      </w:pPr>
      <w:r w:rsidRPr="00CB090A">
        <w:rPr>
          <w:rFonts w:cs="Arial"/>
          <w:bCs/>
          <w:szCs w:val="24"/>
        </w:rPr>
        <w:t xml:space="preserve">While </w:t>
      </w:r>
      <w:r w:rsidR="00DA708D" w:rsidRPr="00CB090A">
        <w:rPr>
          <w:rFonts w:cs="Arial"/>
          <w:bCs/>
          <w:szCs w:val="24"/>
        </w:rPr>
        <w:t xml:space="preserve">CIPFA </w:t>
      </w:r>
      <w:r w:rsidRPr="00CB090A">
        <w:rPr>
          <w:rFonts w:cs="Arial"/>
          <w:bCs/>
          <w:szCs w:val="24"/>
        </w:rPr>
        <w:t xml:space="preserve">recognise that different borrowing positions can be taken relative to the </w:t>
      </w:r>
      <w:r w:rsidR="00E630F7" w:rsidRPr="00CB090A">
        <w:rPr>
          <w:rFonts w:cs="Arial"/>
          <w:bCs/>
          <w:szCs w:val="24"/>
        </w:rPr>
        <w:t>Liability Benchmark</w:t>
      </w:r>
      <w:r w:rsidRPr="00CB090A">
        <w:rPr>
          <w:rFonts w:cs="Arial"/>
          <w:bCs/>
          <w:szCs w:val="24"/>
        </w:rPr>
        <w:t xml:space="preserve">, it requires the </w:t>
      </w:r>
      <w:r w:rsidR="00DA708D" w:rsidRPr="00CB090A">
        <w:rPr>
          <w:rFonts w:cs="Arial"/>
          <w:bCs/>
          <w:szCs w:val="24"/>
        </w:rPr>
        <w:t xml:space="preserve">Authority </w:t>
      </w:r>
      <w:r w:rsidRPr="00CB090A">
        <w:rPr>
          <w:rFonts w:cs="Arial"/>
          <w:bCs/>
          <w:szCs w:val="24"/>
        </w:rPr>
        <w:t>to have regard to the benchmark when undertaking future borrowing decisions, and for it to be analysed as part of the annual treasury management strategy.  Any years where actual loans are less than the benchmark indicate a future borrowing requirement</w:t>
      </w:r>
      <w:r w:rsidR="006B77A1">
        <w:rPr>
          <w:rFonts w:cs="Arial"/>
          <w:bCs/>
          <w:szCs w:val="24"/>
        </w:rPr>
        <w:t xml:space="preserve"> to maintain sufficient liquid investment balances</w:t>
      </w:r>
      <w:r w:rsidRPr="00CB090A">
        <w:rPr>
          <w:rFonts w:cs="Arial"/>
          <w:bCs/>
          <w:szCs w:val="24"/>
        </w:rPr>
        <w:t xml:space="preserve">, while any years where actual loans outstanding exceed the benchmark represent an overborrowed position relative to the benchmark, which will result in excess cash over and above the liquidity allowance </w:t>
      </w:r>
      <w:r w:rsidR="00EF01BD">
        <w:rPr>
          <w:rFonts w:cs="Arial"/>
          <w:bCs/>
          <w:szCs w:val="24"/>
        </w:rPr>
        <w:t>requiring</w:t>
      </w:r>
      <w:r w:rsidRPr="00CB090A">
        <w:rPr>
          <w:rFonts w:cs="Arial"/>
          <w:bCs/>
          <w:szCs w:val="24"/>
        </w:rPr>
        <w:t xml:space="preserve"> investment.</w:t>
      </w:r>
    </w:p>
    <w:p w14:paraId="0452A057" w14:textId="2E5958F9" w:rsidR="00291F3F" w:rsidRPr="00CB090A" w:rsidRDefault="00291F3F" w:rsidP="0099334D">
      <w:pPr>
        <w:pStyle w:val="ListParagraph"/>
        <w:ind w:left="0"/>
        <w:rPr>
          <w:rFonts w:cs="Arial"/>
          <w:bCs/>
          <w:szCs w:val="24"/>
        </w:rPr>
      </w:pPr>
    </w:p>
    <w:p w14:paraId="6F6F5D81" w14:textId="13627BF3" w:rsidR="00291F3F" w:rsidRPr="00CB090A" w:rsidRDefault="00291F3F" w:rsidP="0099334D">
      <w:pPr>
        <w:pStyle w:val="ListParagraph"/>
        <w:numPr>
          <w:ilvl w:val="0"/>
          <w:numId w:val="13"/>
        </w:numPr>
        <w:ind w:left="0" w:hanging="720"/>
        <w:rPr>
          <w:rFonts w:cs="Arial"/>
          <w:bCs/>
          <w:szCs w:val="24"/>
        </w:rPr>
      </w:pPr>
      <w:r w:rsidRPr="00CB090A">
        <w:rPr>
          <w:rFonts w:cs="Arial"/>
          <w:bCs/>
          <w:szCs w:val="24"/>
        </w:rPr>
        <w:t xml:space="preserve">CIPFA view the </w:t>
      </w:r>
      <w:r w:rsidR="00E630F7" w:rsidRPr="00CB090A">
        <w:rPr>
          <w:rFonts w:cs="Arial"/>
          <w:bCs/>
          <w:szCs w:val="24"/>
        </w:rPr>
        <w:t>Liability Benchmark</w:t>
      </w:r>
      <w:r w:rsidRPr="00CB090A">
        <w:rPr>
          <w:rFonts w:cs="Arial"/>
          <w:bCs/>
          <w:szCs w:val="24"/>
        </w:rPr>
        <w:t xml:space="preserve"> as a live tool to inform borrowing decisions in respect of identifying the quantum and the duration of new borrowing to match the Authority’s future </w:t>
      </w:r>
      <w:r w:rsidR="006B77A1">
        <w:rPr>
          <w:rFonts w:cs="Arial"/>
          <w:bCs/>
          <w:szCs w:val="24"/>
        </w:rPr>
        <w:t>borrowing</w:t>
      </w:r>
      <w:r w:rsidRPr="00CB090A">
        <w:rPr>
          <w:rFonts w:cs="Arial"/>
          <w:bCs/>
          <w:szCs w:val="24"/>
        </w:rPr>
        <w:t xml:space="preserve"> requirement and to minimise treasury risks, based on known and approved prudential borrowing.</w:t>
      </w:r>
      <w:r w:rsidR="006D0DA5">
        <w:rPr>
          <w:rFonts w:cs="Arial"/>
          <w:bCs/>
          <w:szCs w:val="24"/>
        </w:rPr>
        <w:t xml:space="preserve">  There are no future assumptions built into the </w:t>
      </w:r>
      <w:r w:rsidR="00EF01BD">
        <w:rPr>
          <w:rFonts w:cs="Arial"/>
          <w:bCs/>
          <w:szCs w:val="24"/>
        </w:rPr>
        <w:t>L</w:t>
      </w:r>
      <w:r w:rsidR="006D0DA5">
        <w:rPr>
          <w:rFonts w:cs="Arial"/>
          <w:bCs/>
          <w:szCs w:val="24"/>
        </w:rPr>
        <w:t xml:space="preserve">iability </w:t>
      </w:r>
      <w:r w:rsidR="00EF01BD">
        <w:rPr>
          <w:rFonts w:cs="Arial"/>
          <w:bCs/>
          <w:szCs w:val="24"/>
        </w:rPr>
        <w:t>B</w:t>
      </w:r>
      <w:r w:rsidR="006D0DA5">
        <w:rPr>
          <w:rFonts w:cs="Arial"/>
          <w:bCs/>
          <w:szCs w:val="24"/>
        </w:rPr>
        <w:t xml:space="preserve">enchmark, outside of the current capital programme. </w:t>
      </w:r>
    </w:p>
    <w:p w14:paraId="73A10529" w14:textId="3B11EB30" w:rsidR="00DA708D" w:rsidRDefault="00DA708D" w:rsidP="0099334D">
      <w:pPr>
        <w:tabs>
          <w:tab w:val="left" w:pos="0"/>
          <w:tab w:val="num" w:pos="709"/>
        </w:tabs>
        <w:rPr>
          <w:rFonts w:cs="Arial"/>
          <w:szCs w:val="24"/>
        </w:rPr>
      </w:pPr>
    </w:p>
    <w:p w14:paraId="0C64936C" w14:textId="5BDF1E25" w:rsidR="00FD6CA1" w:rsidRDefault="00023027" w:rsidP="00023027">
      <w:pPr>
        <w:rPr>
          <w:szCs w:val="24"/>
        </w:rPr>
      </w:pPr>
      <w:r>
        <w:rPr>
          <w:rFonts w:cs="Arial"/>
          <w:sz w:val="20"/>
        </w:rPr>
        <w:t>Graph 1</w:t>
      </w:r>
      <w:r w:rsidRPr="00EA60F0">
        <w:rPr>
          <w:rFonts w:cs="Arial"/>
          <w:sz w:val="20"/>
        </w:rPr>
        <w:t xml:space="preserve">: </w:t>
      </w:r>
      <w:r>
        <w:rPr>
          <w:rFonts w:cs="Arial"/>
          <w:sz w:val="20"/>
        </w:rPr>
        <w:t>Liability Benchmark</w:t>
      </w:r>
    </w:p>
    <w:p w14:paraId="199462BC" w14:textId="234BD6B8" w:rsidR="00A76FC0" w:rsidRDefault="00EF01BD" w:rsidP="00023027">
      <w:pPr>
        <w:rPr>
          <w:rFonts w:cs="Arial"/>
          <w:sz w:val="20"/>
        </w:rPr>
      </w:pPr>
      <w:r>
        <w:rPr>
          <w:rFonts w:cs="Arial"/>
          <w:noProof/>
          <w:sz w:val="20"/>
        </w:rPr>
        <w:drawing>
          <wp:inline distT="0" distB="0" distL="0" distR="0" wp14:anchorId="70B15425" wp14:editId="1BE442CA">
            <wp:extent cx="5215890" cy="3401667"/>
            <wp:effectExtent l="19050" t="19050" r="22860" b="2794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35361" cy="3414365"/>
                    </a:xfrm>
                    <a:prstGeom prst="rect">
                      <a:avLst/>
                    </a:prstGeom>
                    <a:noFill/>
                    <a:ln>
                      <a:solidFill>
                        <a:schemeClr val="tx1"/>
                      </a:solidFill>
                    </a:ln>
                  </pic:spPr>
                </pic:pic>
              </a:graphicData>
            </a:graphic>
          </wp:inline>
        </w:drawing>
      </w:r>
    </w:p>
    <w:p w14:paraId="7B35BA87" w14:textId="77777777" w:rsidR="00023027" w:rsidRPr="00BD1B30" w:rsidRDefault="00023027" w:rsidP="00BD1B30">
      <w:pPr>
        <w:pStyle w:val="ListParagraph"/>
        <w:ind w:left="0"/>
        <w:jc w:val="both"/>
        <w:rPr>
          <w:rFonts w:cs="Arial"/>
          <w:bCs/>
          <w:szCs w:val="24"/>
        </w:rPr>
      </w:pPr>
    </w:p>
    <w:p w14:paraId="34298002" w14:textId="05DB9928" w:rsidR="006A44FF" w:rsidRPr="0010208A" w:rsidRDefault="00023027" w:rsidP="0099334D">
      <w:pPr>
        <w:pStyle w:val="ListParagraph"/>
        <w:numPr>
          <w:ilvl w:val="0"/>
          <w:numId w:val="13"/>
        </w:numPr>
        <w:ind w:left="0" w:hanging="720"/>
        <w:rPr>
          <w:rFonts w:cs="Arial"/>
          <w:bCs/>
          <w:szCs w:val="24"/>
        </w:rPr>
      </w:pPr>
      <w:r w:rsidRPr="0010208A">
        <w:rPr>
          <w:rFonts w:cs="Arial"/>
          <w:bCs/>
          <w:szCs w:val="24"/>
        </w:rPr>
        <w:t xml:space="preserve">The </w:t>
      </w:r>
      <w:r w:rsidR="00E630F7" w:rsidRPr="0010208A">
        <w:rPr>
          <w:rFonts w:cs="Arial"/>
          <w:bCs/>
          <w:szCs w:val="24"/>
        </w:rPr>
        <w:t>Liability Benchmark</w:t>
      </w:r>
      <w:r w:rsidRPr="0010208A">
        <w:rPr>
          <w:rFonts w:cs="Arial"/>
          <w:bCs/>
          <w:szCs w:val="24"/>
        </w:rPr>
        <w:t xml:space="preserve"> suggests that based on the current capital expenditure commitments within the</w:t>
      </w:r>
      <w:r w:rsidR="006A44FF" w:rsidRPr="0010208A">
        <w:rPr>
          <w:rFonts w:cs="Arial"/>
          <w:bCs/>
          <w:szCs w:val="24"/>
        </w:rPr>
        <w:t xml:space="preserve"> General Fund</w:t>
      </w:r>
      <w:r w:rsidRPr="0010208A">
        <w:rPr>
          <w:rFonts w:cs="Arial"/>
          <w:bCs/>
          <w:szCs w:val="24"/>
        </w:rPr>
        <w:t xml:space="preserve"> capital programme and the HRA </w:t>
      </w:r>
      <w:r w:rsidR="006A44FF" w:rsidRPr="0010208A">
        <w:rPr>
          <w:rFonts w:cs="Arial"/>
          <w:bCs/>
          <w:szCs w:val="24"/>
        </w:rPr>
        <w:t>B</w:t>
      </w:r>
      <w:r w:rsidRPr="0010208A">
        <w:rPr>
          <w:rFonts w:cs="Arial"/>
          <w:bCs/>
          <w:szCs w:val="24"/>
        </w:rPr>
        <w:t xml:space="preserve">usiness </w:t>
      </w:r>
      <w:r w:rsidR="006A44FF" w:rsidRPr="0010208A">
        <w:rPr>
          <w:rFonts w:cs="Arial"/>
          <w:bCs/>
          <w:szCs w:val="24"/>
        </w:rPr>
        <w:t>P</w:t>
      </w:r>
      <w:r w:rsidRPr="0010208A">
        <w:rPr>
          <w:rFonts w:cs="Arial"/>
          <w:bCs/>
          <w:szCs w:val="24"/>
        </w:rPr>
        <w:t>lan the Authority has a small future borrowing requirement between 20</w:t>
      </w:r>
      <w:r w:rsidR="006B77A1" w:rsidRPr="0010208A">
        <w:rPr>
          <w:rFonts w:cs="Arial"/>
          <w:bCs/>
          <w:szCs w:val="24"/>
        </w:rPr>
        <w:t>23/24</w:t>
      </w:r>
      <w:r w:rsidR="006A44FF" w:rsidRPr="0010208A">
        <w:rPr>
          <w:rFonts w:cs="Arial"/>
          <w:bCs/>
          <w:szCs w:val="24"/>
        </w:rPr>
        <w:t xml:space="preserve"> and 20</w:t>
      </w:r>
      <w:r w:rsidR="00EF01BD" w:rsidRPr="0010208A">
        <w:rPr>
          <w:rFonts w:cs="Arial"/>
          <w:bCs/>
          <w:szCs w:val="24"/>
        </w:rPr>
        <w:t>32</w:t>
      </w:r>
      <w:r w:rsidR="00350D6D" w:rsidRPr="0010208A">
        <w:rPr>
          <w:rFonts w:cs="Arial"/>
          <w:bCs/>
          <w:szCs w:val="24"/>
        </w:rPr>
        <w:t>/3</w:t>
      </w:r>
      <w:r w:rsidR="00EF01BD" w:rsidRPr="0010208A">
        <w:rPr>
          <w:rFonts w:cs="Arial"/>
          <w:bCs/>
          <w:szCs w:val="24"/>
        </w:rPr>
        <w:t>3</w:t>
      </w:r>
      <w:r w:rsidRPr="0010208A">
        <w:rPr>
          <w:rFonts w:cs="Arial"/>
          <w:bCs/>
          <w:szCs w:val="24"/>
        </w:rPr>
        <w:t>, where the current borrowing portfolio is</w:t>
      </w:r>
      <w:r w:rsidR="00E630F7" w:rsidRPr="0010208A">
        <w:rPr>
          <w:rFonts w:cs="Arial"/>
          <w:bCs/>
          <w:szCs w:val="24"/>
        </w:rPr>
        <w:t xml:space="preserve"> forecast to be</w:t>
      </w:r>
      <w:r w:rsidRPr="0010208A">
        <w:rPr>
          <w:rFonts w:cs="Arial"/>
          <w:bCs/>
          <w:szCs w:val="24"/>
        </w:rPr>
        <w:t xml:space="preserve"> below the </w:t>
      </w:r>
      <w:r w:rsidR="00E630F7" w:rsidRPr="0010208A">
        <w:rPr>
          <w:rFonts w:cs="Arial"/>
          <w:bCs/>
          <w:szCs w:val="24"/>
        </w:rPr>
        <w:t>Liability Benchmark</w:t>
      </w:r>
      <w:r w:rsidRPr="0010208A">
        <w:rPr>
          <w:rFonts w:cs="Arial"/>
          <w:bCs/>
          <w:szCs w:val="24"/>
        </w:rPr>
        <w:t>.</w:t>
      </w:r>
      <w:r w:rsidR="00EF01BD" w:rsidRPr="0010208A">
        <w:rPr>
          <w:rFonts w:cs="Arial"/>
          <w:bCs/>
          <w:szCs w:val="24"/>
        </w:rPr>
        <w:t xml:space="preserve">  The figures for 2023/24 are based on </w:t>
      </w:r>
      <w:r w:rsidR="009466AA" w:rsidRPr="0010208A">
        <w:rPr>
          <w:rFonts w:cs="Arial"/>
          <w:bCs/>
          <w:szCs w:val="24"/>
        </w:rPr>
        <w:t xml:space="preserve">revised </w:t>
      </w:r>
      <w:r w:rsidR="00EF01BD" w:rsidRPr="0010208A">
        <w:rPr>
          <w:rFonts w:cs="Arial"/>
          <w:bCs/>
          <w:szCs w:val="24"/>
        </w:rPr>
        <w:t>budget figures</w:t>
      </w:r>
      <w:r w:rsidR="009466AA" w:rsidRPr="0010208A">
        <w:rPr>
          <w:rFonts w:cs="Arial"/>
          <w:bCs/>
          <w:szCs w:val="24"/>
        </w:rPr>
        <w:t xml:space="preserve"> and therefore may not reflect the latest position in respect of slippage within the capital programme.</w:t>
      </w:r>
      <w:r w:rsidR="00EF01BD" w:rsidRPr="0010208A">
        <w:rPr>
          <w:rFonts w:cs="Arial"/>
          <w:bCs/>
          <w:szCs w:val="24"/>
        </w:rPr>
        <w:t xml:space="preserve"> </w:t>
      </w:r>
      <w:r w:rsidR="006A44FF" w:rsidRPr="0010208A">
        <w:rPr>
          <w:rFonts w:cs="Arial"/>
          <w:bCs/>
          <w:szCs w:val="24"/>
        </w:rPr>
        <w:t xml:space="preserve">   </w:t>
      </w:r>
      <w:r w:rsidRPr="0010208A">
        <w:rPr>
          <w:rFonts w:cs="Arial"/>
          <w:bCs/>
          <w:szCs w:val="24"/>
        </w:rPr>
        <w:t xml:space="preserve">  </w:t>
      </w:r>
    </w:p>
    <w:p w14:paraId="7BB10E30" w14:textId="77777777" w:rsidR="006A44FF" w:rsidRPr="00CB090A" w:rsidRDefault="006A44FF" w:rsidP="0099334D">
      <w:pPr>
        <w:pStyle w:val="ListParagraph"/>
        <w:ind w:left="0"/>
        <w:rPr>
          <w:rFonts w:cs="Arial"/>
          <w:bCs/>
          <w:szCs w:val="24"/>
        </w:rPr>
      </w:pPr>
    </w:p>
    <w:p w14:paraId="68CD0479" w14:textId="6B40C2F1" w:rsidR="00FD6CA1" w:rsidRPr="00CB090A" w:rsidRDefault="00023027" w:rsidP="0099334D">
      <w:pPr>
        <w:pStyle w:val="ListParagraph"/>
        <w:numPr>
          <w:ilvl w:val="0"/>
          <w:numId w:val="13"/>
        </w:numPr>
        <w:ind w:left="0" w:hanging="720"/>
        <w:rPr>
          <w:rFonts w:cs="Arial"/>
          <w:bCs/>
          <w:szCs w:val="24"/>
        </w:rPr>
      </w:pPr>
      <w:r w:rsidRPr="00CB090A">
        <w:rPr>
          <w:rFonts w:cs="Arial"/>
          <w:bCs/>
          <w:szCs w:val="24"/>
        </w:rPr>
        <w:t>The</w:t>
      </w:r>
      <w:r w:rsidR="00291F3F" w:rsidRPr="00CB090A">
        <w:rPr>
          <w:rFonts w:cs="Arial"/>
          <w:bCs/>
          <w:szCs w:val="24"/>
        </w:rPr>
        <w:t xml:space="preserve"> Authority’s</w:t>
      </w:r>
      <w:r w:rsidRPr="00CB090A">
        <w:rPr>
          <w:rFonts w:cs="Arial"/>
          <w:bCs/>
          <w:szCs w:val="24"/>
        </w:rPr>
        <w:t xml:space="preserve"> </w:t>
      </w:r>
      <w:r w:rsidR="00E630F7" w:rsidRPr="00CB090A">
        <w:rPr>
          <w:rFonts w:cs="Arial"/>
          <w:bCs/>
          <w:szCs w:val="24"/>
        </w:rPr>
        <w:t>Liability Benchmark</w:t>
      </w:r>
      <w:r w:rsidRPr="00CB090A">
        <w:rPr>
          <w:rFonts w:cs="Arial"/>
          <w:bCs/>
          <w:szCs w:val="24"/>
        </w:rPr>
        <w:t xml:space="preserve"> incorporates a liquidity allowance of £30m</w:t>
      </w:r>
      <w:r w:rsidR="00291F3F" w:rsidRPr="00CB090A">
        <w:rPr>
          <w:rFonts w:cs="Arial"/>
          <w:bCs/>
          <w:szCs w:val="24"/>
        </w:rPr>
        <w:t xml:space="preserve">.  Using this to determine the </w:t>
      </w:r>
      <w:r w:rsidR="006A44FF" w:rsidRPr="00CB090A">
        <w:rPr>
          <w:rFonts w:cs="Arial"/>
          <w:bCs/>
          <w:szCs w:val="24"/>
        </w:rPr>
        <w:t xml:space="preserve">borrowing metric </w:t>
      </w:r>
      <w:r w:rsidRPr="00CB090A">
        <w:rPr>
          <w:rFonts w:cs="Arial"/>
          <w:bCs/>
          <w:szCs w:val="24"/>
        </w:rPr>
        <w:t xml:space="preserve">therefore means that the </w:t>
      </w:r>
      <w:r w:rsidRPr="00CB090A">
        <w:rPr>
          <w:rFonts w:cs="Arial"/>
          <w:bCs/>
          <w:szCs w:val="24"/>
        </w:rPr>
        <w:lastRenderedPageBreak/>
        <w:t xml:space="preserve">Authority would use internal borrowing </w:t>
      </w:r>
      <w:r w:rsidR="006A44FF" w:rsidRPr="00CB090A">
        <w:rPr>
          <w:rFonts w:cs="Arial"/>
          <w:bCs/>
          <w:szCs w:val="24"/>
        </w:rPr>
        <w:t xml:space="preserve">to support its capital expenditure plans up to a point at which it would maintain £30m of </w:t>
      </w:r>
      <w:proofErr w:type="gramStart"/>
      <w:r w:rsidR="006A44FF" w:rsidRPr="00CB090A">
        <w:rPr>
          <w:rFonts w:cs="Arial"/>
          <w:bCs/>
          <w:szCs w:val="24"/>
        </w:rPr>
        <w:t>short term</w:t>
      </w:r>
      <w:proofErr w:type="gramEnd"/>
      <w:r w:rsidR="006A44FF" w:rsidRPr="00CB090A">
        <w:rPr>
          <w:rFonts w:cs="Arial"/>
          <w:bCs/>
          <w:szCs w:val="24"/>
        </w:rPr>
        <w:t xml:space="preserve"> treasury investments. </w:t>
      </w:r>
    </w:p>
    <w:p w14:paraId="1933662D" w14:textId="77777777" w:rsidR="006A44FF" w:rsidRPr="00CB090A" w:rsidRDefault="006A44FF" w:rsidP="0099334D">
      <w:pPr>
        <w:pStyle w:val="ListParagraph"/>
        <w:ind w:left="0"/>
        <w:rPr>
          <w:rFonts w:cs="Arial"/>
          <w:bCs/>
          <w:szCs w:val="24"/>
        </w:rPr>
      </w:pPr>
    </w:p>
    <w:p w14:paraId="7EA4E432" w14:textId="7FEF7F77" w:rsidR="006D0DA5" w:rsidRPr="006D0DA5" w:rsidRDefault="006A44FF" w:rsidP="0099334D">
      <w:pPr>
        <w:pStyle w:val="ListParagraph"/>
        <w:numPr>
          <w:ilvl w:val="0"/>
          <w:numId w:val="13"/>
        </w:numPr>
        <w:ind w:left="0" w:hanging="720"/>
        <w:rPr>
          <w:rFonts w:cs="Arial"/>
          <w:bCs/>
          <w:szCs w:val="24"/>
        </w:rPr>
      </w:pPr>
      <w:r w:rsidRPr="00CB090A">
        <w:rPr>
          <w:rFonts w:cs="Arial"/>
          <w:bCs/>
          <w:szCs w:val="24"/>
        </w:rPr>
        <w:t xml:space="preserve">Following </w:t>
      </w:r>
      <w:r w:rsidR="00350D6D">
        <w:rPr>
          <w:rFonts w:cs="Arial"/>
          <w:bCs/>
          <w:szCs w:val="24"/>
        </w:rPr>
        <w:t>20</w:t>
      </w:r>
      <w:r w:rsidR="009466AA">
        <w:rPr>
          <w:rFonts w:cs="Arial"/>
          <w:bCs/>
          <w:szCs w:val="24"/>
        </w:rPr>
        <w:t>32</w:t>
      </w:r>
      <w:r w:rsidR="00350D6D">
        <w:rPr>
          <w:rFonts w:cs="Arial"/>
          <w:bCs/>
          <w:szCs w:val="24"/>
        </w:rPr>
        <w:t>/3</w:t>
      </w:r>
      <w:r w:rsidR="009466AA">
        <w:rPr>
          <w:rFonts w:cs="Arial"/>
          <w:bCs/>
          <w:szCs w:val="24"/>
        </w:rPr>
        <w:t>3</w:t>
      </w:r>
      <w:r w:rsidRPr="00CB090A">
        <w:rPr>
          <w:rFonts w:cs="Arial"/>
          <w:bCs/>
          <w:szCs w:val="24"/>
        </w:rPr>
        <w:t xml:space="preserve">, MRP applied to the General Fund CFR and provisions within the HRA Business Plan to repay principal means that the Loans CFR and the </w:t>
      </w:r>
      <w:r w:rsidR="00E630F7" w:rsidRPr="00CB090A">
        <w:rPr>
          <w:rFonts w:cs="Arial"/>
          <w:bCs/>
          <w:szCs w:val="24"/>
        </w:rPr>
        <w:t>Liability Benchmark</w:t>
      </w:r>
      <w:r w:rsidRPr="00CB090A">
        <w:rPr>
          <w:rFonts w:cs="Arial"/>
          <w:bCs/>
          <w:szCs w:val="24"/>
        </w:rPr>
        <w:t xml:space="preserve"> trend down, remaining below the </w:t>
      </w:r>
      <w:r w:rsidR="00291F3F" w:rsidRPr="00CB090A">
        <w:rPr>
          <w:rFonts w:cs="Arial"/>
          <w:bCs/>
          <w:szCs w:val="24"/>
        </w:rPr>
        <w:t>long-term</w:t>
      </w:r>
      <w:r w:rsidRPr="00CB090A">
        <w:rPr>
          <w:rFonts w:cs="Arial"/>
          <w:bCs/>
          <w:szCs w:val="24"/>
        </w:rPr>
        <w:t xml:space="preserve"> borrowing portfolio</w:t>
      </w:r>
      <w:r w:rsidR="006D0DA5">
        <w:rPr>
          <w:rFonts w:cs="Arial"/>
          <w:bCs/>
          <w:szCs w:val="24"/>
        </w:rPr>
        <w:t xml:space="preserve"> over the long term until the </w:t>
      </w:r>
      <w:r w:rsidR="00F87433">
        <w:rPr>
          <w:rFonts w:cs="Arial"/>
          <w:bCs/>
          <w:szCs w:val="24"/>
        </w:rPr>
        <w:t>final decade</w:t>
      </w:r>
      <w:r w:rsidR="006D0DA5">
        <w:rPr>
          <w:rFonts w:cs="Arial"/>
          <w:bCs/>
          <w:szCs w:val="24"/>
        </w:rPr>
        <w:t xml:space="preserve"> of the current maturity profile</w:t>
      </w:r>
      <w:r w:rsidRPr="00CB090A">
        <w:rPr>
          <w:rFonts w:cs="Arial"/>
          <w:bCs/>
          <w:szCs w:val="24"/>
        </w:rPr>
        <w:t xml:space="preserve">.  This indicates that </w:t>
      </w:r>
      <w:r w:rsidR="00E630F7" w:rsidRPr="00CB090A">
        <w:rPr>
          <w:rFonts w:cs="Arial"/>
          <w:bCs/>
          <w:szCs w:val="24"/>
        </w:rPr>
        <w:t xml:space="preserve">relative to the Liability Benchmark </w:t>
      </w:r>
      <w:r w:rsidRPr="00CB090A">
        <w:rPr>
          <w:rFonts w:cs="Arial"/>
          <w:bCs/>
          <w:szCs w:val="24"/>
        </w:rPr>
        <w:t>no additional external borrowing would be required</w:t>
      </w:r>
      <w:r w:rsidR="006D0DA5">
        <w:rPr>
          <w:rFonts w:cs="Arial"/>
          <w:bCs/>
          <w:szCs w:val="24"/>
        </w:rPr>
        <w:t xml:space="preserve"> to meet current approved capital expenditure</w:t>
      </w:r>
      <w:r w:rsidRPr="00CB090A">
        <w:rPr>
          <w:rFonts w:cs="Arial"/>
          <w:bCs/>
          <w:szCs w:val="24"/>
        </w:rPr>
        <w:t xml:space="preserve">, and that treasury investments </w:t>
      </w:r>
      <w:r w:rsidR="00350D6D">
        <w:rPr>
          <w:rFonts w:cs="Arial"/>
          <w:bCs/>
          <w:szCs w:val="24"/>
        </w:rPr>
        <w:t xml:space="preserve">would be </w:t>
      </w:r>
      <w:r w:rsidRPr="00CB090A">
        <w:rPr>
          <w:rFonts w:cs="Arial"/>
          <w:bCs/>
          <w:szCs w:val="24"/>
        </w:rPr>
        <w:t xml:space="preserve">forecast </w:t>
      </w:r>
      <w:r w:rsidR="00350D6D">
        <w:rPr>
          <w:rFonts w:cs="Arial"/>
          <w:bCs/>
          <w:szCs w:val="24"/>
        </w:rPr>
        <w:t>remain above</w:t>
      </w:r>
      <w:r w:rsidRPr="00CB090A">
        <w:rPr>
          <w:rFonts w:cs="Arial"/>
          <w:bCs/>
          <w:szCs w:val="24"/>
        </w:rPr>
        <w:t xml:space="preserve"> the £30m liquidity allowance factored into the benchmark</w:t>
      </w:r>
      <w:r w:rsidR="00350D6D">
        <w:rPr>
          <w:rFonts w:cs="Arial"/>
          <w:bCs/>
          <w:szCs w:val="24"/>
        </w:rPr>
        <w:t>.</w:t>
      </w:r>
    </w:p>
    <w:p w14:paraId="50347711" w14:textId="77777777" w:rsidR="00291F3F" w:rsidRPr="00CB090A" w:rsidRDefault="00291F3F" w:rsidP="0099334D">
      <w:pPr>
        <w:pStyle w:val="ListParagraph"/>
        <w:ind w:left="0"/>
        <w:rPr>
          <w:rFonts w:cs="Arial"/>
          <w:bCs/>
          <w:szCs w:val="24"/>
        </w:rPr>
      </w:pPr>
    </w:p>
    <w:p w14:paraId="2CD05AB4" w14:textId="4DC85ABF" w:rsidR="00291F3F" w:rsidRPr="00CB090A" w:rsidRDefault="00291F3F" w:rsidP="0099334D">
      <w:pPr>
        <w:pStyle w:val="ListParagraph"/>
        <w:numPr>
          <w:ilvl w:val="0"/>
          <w:numId w:val="13"/>
        </w:numPr>
        <w:ind w:left="0" w:hanging="720"/>
        <w:rPr>
          <w:rFonts w:cs="Arial"/>
          <w:bCs/>
          <w:szCs w:val="24"/>
        </w:rPr>
      </w:pPr>
      <w:r w:rsidRPr="00CB090A">
        <w:rPr>
          <w:rFonts w:cs="Arial"/>
          <w:bCs/>
          <w:szCs w:val="24"/>
        </w:rPr>
        <w:t>The Authority will keep the L</w:t>
      </w:r>
      <w:r w:rsidR="00E630F7" w:rsidRPr="00CB090A">
        <w:rPr>
          <w:rFonts w:cs="Arial"/>
          <w:bCs/>
          <w:szCs w:val="24"/>
        </w:rPr>
        <w:t xml:space="preserve">iability </w:t>
      </w:r>
      <w:r w:rsidRPr="00CB090A">
        <w:rPr>
          <w:rFonts w:cs="Arial"/>
          <w:bCs/>
          <w:szCs w:val="24"/>
        </w:rPr>
        <w:t>B</w:t>
      </w:r>
      <w:r w:rsidR="00E630F7" w:rsidRPr="00CB090A">
        <w:rPr>
          <w:rFonts w:cs="Arial"/>
          <w:bCs/>
          <w:szCs w:val="24"/>
        </w:rPr>
        <w:t>enchmark</w:t>
      </w:r>
      <w:r w:rsidRPr="00CB090A">
        <w:rPr>
          <w:rFonts w:cs="Arial"/>
          <w:bCs/>
          <w:szCs w:val="24"/>
        </w:rPr>
        <w:t xml:space="preserve"> under review, updating it when new </w:t>
      </w:r>
      <w:r w:rsidR="00E630F7" w:rsidRPr="00CB090A">
        <w:rPr>
          <w:rFonts w:cs="Arial"/>
          <w:bCs/>
          <w:szCs w:val="24"/>
        </w:rPr>
        <w:t>information</w:t>
      </w:r>
      <w:r w:rsidRPr="00CB090A">
        <w:rPr>
          <w:rFonts w:cs="Arial"/>
          <w:bCs/>
          <w:szCs w:val="24"/>
        </w:rPr>
        <w:t xml:space="preserve"> becomes available, and</w:t>
      </w:r>
      <w:r w:rsidR="00F87433">
        <w:rPr>
          <w:rFonts w:cs="Arial"/>
          <w:bCs/>
          <w:szCs w:val="24"/>
        </w:rPr>
        <w:t xml:space="preserve"> it</w:t>
      </w:r>
      <w:r w:rsidRPr="00CB090A">
        <w:rPr>
          <w:rFonts w:cs="Arial"/>
          <w:bCs/>
          <w:szCs w:val="24"/>
        </w:rPr>
        <w:t xml:space="preserve"> </w:t>
      </w:r>
      <w:r w:rsidR="00E630F7" w:rsidRPr="00CB090A">
        <w:rPr>
          <w:rFonts w:cs="Arial"/>
          <w:bCs/>
          <w:szCs w:val="24"/>
        </w:rPr>
        <w:t>will be reviewed ahead of any future borrowing decisions.</w:t>
      </w:r>
      <w:r w:rsidR="006D0DA5">
        <w:rPr>
          <w:rFonts w:cs="Arial"/>
          <w:bCs/>
          <w:szCs w:val="24"/>
        </w:rPr>
        <w:t xml:space="preserve">  </w:t>
      </w:r>
    </w:p>
    <w:p w14:paraId="3DB07850" w14:textId="6058D8FA" w:rsidR="0098041F" w:rsidRPr="0039072F" w:rsidRDefault="0098041F" w:rsidP="0099334D">
      <w:pPr>
        <w:pStyle w:val="subhead"/>
        <w:numPr>
          <w:ilvl w:val="0"/>
          <w:numId w:val="0"/>
        </w:numPr>
        <w:ind w:left="360" w:hanging="360"/>
        <w:jc w:val="left"/>
        <w:rPr>
          <w:sz w:val="24"/>
          <w:szCs w:val="24"/>
        </w:rPr>
      </w:pPr>
      <w:r w:rsidRPr="0039072F">
        <w:rPr>
          <w:sz w:val="24"/>
          <w:szCs w:val="24"/>
        </w:rPr>
        <w:t>Minimum revenue provision (MRP) policy statement</w:t>
      </w:r>
      <w:bookmarkEnd w:id="2"/>
    </w:p>
    <w:p w14:paraId="36046683" w14:textId="6680B030" w:rsidR="0098041F" w:rsidRPr="00BD1B30" w:rsidRDefault="0098041F" w:rsidP="0099334D">
      <w:pPr>
        <w:pStyle w:val="ListParagraph"/>
        <w:numPr>
          <w:ilvl w:val="0"/>
          <w:numId w:val="13"/>
        </w:numPr>
        <w:ind w:left="0" w:hanging="720"/>
        <w:rPr>
          <w:rFonts w:cs="Arial"/>
          <w:bCs/>
          <w:szCs w:val="24"/>
        </w:rPr>
      </w:pPr>
      <w:r w:rsidRPr="00BD1B30">
        <w:rPr>
          <w:rFonts w:cs="Arial"/>
          <w:bCs/>
          <w:szCs w:val="24"/>
        </w:rPr>
        <w:t xml:space="preserve">Capital expenditure is generally defined as expenditure on assets that have a life expectancy of more than one year </w:t>
      </w:r>
      <w:proofErr w:type="gramStart"/>
      <w:r w:rsidRPr="00BD1B30">
        <w:rPr>
          <w:rFonts w:cs="Arial"/>
          <w:bCs/>
          <w:szCs w:val="24"/>
        </w:rPr>
        <w:t>e.g.</w:t>
      </w:r>
      <w:proofErr w:type="gramEnd"/>
      <w:r w:rsidRPr="00BD1B30">
        <w:rPr>
          <w:rFonts w:cs="Arial"/>
          <w:bCs/>
          <w:szCs w:val="24"/>
        </w:rPr>
        <w:t xml:space="preserve"> buildings, vehicles, machinery etc. The accounting approach is to spread the cost over the estimated useful life of the asset. The mechanism for spreading these costs is through an annual MRP. The MRP is </w:t>
      </w:r>
      <w:proofErr w:type="gramStart"/>
      <w:r w:rsidRPr="00BD1B30">
        <w:rPr>
          <w:rFonts w:cs="Arial"/>
          <w:bCs/>
          <w:szCs w:val="24"/>
        </w:rPr>
        <w:t>the means by which</w:t>
      </w:r>
      <w:proofErr w:type="gramEnd"/>
      <w:r w:rsidRPr="00BD1B30">
        <w:rPr>
          <w:rFonts w:cs="Arial"/>
          <w:bCs/>
          <w:szCs w:val="24"/>
        </w:rPr>
        <w:t xml:space="preserve"> capital expenditure, which is financed by borrowing or credit arrangements, is</w:t>
      </w:r>
      <w:r w:rsidR="00F87433">
        <w:rPr>
          <w:rFonts w:cs="Arial"/>
          <w:bCs/>
          <w:szCs w:val="24"/>
        </w:rPr>
        <w:t xml:space="preserve"> charged to the General Fund and therefore</w:t>
      </w:r>
      <w:r w:rsidRPr="00BD1B30">
        <w:rPr>
          <w:rFonts w:cs="Arial"/>
          <w:bCs/>
          <w:szCs w:val="24"/>
        </w:rPr>
        <w:t xml:space="preserve"> funded by Council Tax.  </w:t>
      </w:r>
    </w:p>
    <w:p w14:paraId="61DD8275" w14:textId="77777777" w:rsidR="0098041F" w:rsidRPr="00BD1B30" w:rsidRDefault="0098041F" w:rsidP="0099334D">
      <w:pPr>
        <w:pStyle w:val="ListParagraph"/>
        <w:ind w:left="0"/>
        <w:rPr>
          <w:rFonts w:cs="Arial"/>
          <w:bCs/>
          <w:szCs w:val="24"/>
        </w:rPr>
      </w:pPr>
    </w:p>
    <w:p w14:paraId="09E2BEAA" w14:textId="7F8D65DE" w:rsidR="0098041F" w:rsidRPr="00BD1B30" w:rsidRDefault="0098041F" w:rsidP="0099334D">
      <w:pPr>
        <w:pStyle w:val="ListParagraph"/>
        <w:numPr>
          <w:ilvl w:val="0"/>
          <w:numId w:val="13"/>
        </w:numPr>
        <w:ind w:left="0" w:hanging="720"/>
        <w:rPr>
          <w:rFonts w:cs="Arial"/>
          <w:bCs/>
          <w:szCs w:val="24"/>
        </w:rPr>
      </w:pPr>
      <w:r w:rsidRPr="00BD1B30">
        <w:rPr>
          <w:rFonts w:cs="Arial"/>
          <w:bCs/>
          <w:szCs w:val="24"/>
        </w:rPr>
        <w:t xml:space="preserve">Regulation 28 of the Local Authorities (Capital Finance and Accounting) (England) Regulations 2003 (as </w:t>
      </w:r>
      <w:r w:rsidR="00E13783" w:rsidRPr="00BD1B30">
        <w:rPr>
          <w:rFonts w:cs="Arial"/>
          <w:bCs/>
          <w:szCs w:val="24"/>
        </w:rPr>
        <w:t>amended) requires</w:t>
      </w:r>
      <w:r w:rsidRPr="00BD1B30">
        <w:rPr>
          <w:rFonts w:cs="Arial"/>
          <w:bCs/>
          <w:szCs w:val="24"/>
        </w:rPr>
        <w:t xml:space="preserve"> the Council to approve an MRP Statement setting out what provision is to be made in the General Fund for the repayment of debt, and how the provision is to be calculated. The purpose of the</w:t>
      </w:r>
      <w:r w:rsidR="009466AA">
        <w:rPr>
          <w:rFonts w:cs="Arial"/>
          <w:bCs/>
          <w:szCs w:val="24"/>
        </w:rPr>
        <w:t xml:space="preserve"> policy</w:t>
      </w:r>
      <w:r w:rsidRPr="00BD1B30">
        <w:rPr>
          <w:rFonts w:cs="Arial"/>
          <w:bCs/>
          <w:szCs w:val="24"/>
        </w:rPr>
        <w:t xml:space="preserve"> </w:t>
      </w:r>
      <w:r w:rsidR="009466AA">
        <w:rPr>
          <w:rFonts w:cs="Arial"/>
          <w:bCs/>
          <w:szCs w:val="24"/>
        </w:rPr>
        <w:t>S</w:t>
      </w:r>
      <w:r w:rsidRPr="00BD1B30">
        <w:rPr>
          <w:rFonts w:cs="Arial"/>
          <w:bCs/>
          <w:szCs w:val="24"/>
        </w:rPr>
        <w:t>tatement is to ensure the provision is prudent</w:t>
      </w:r>
      <w:r w:rsidR="009466AA">
        <w:rPr>
          <w:rFonts w:cs="Arial"/>
          <w:bCs/>
          <w:szCs w:val="24"/>
        </w:rPr>
        <w:t xml:space="preserve"> meeting the requirement of the Regulations.  This is to ensure</w:t>
      </w:r>
      <w:r w:rsidRPr="00BD1B30">
        <w:rPr>
          <w:rFonts w:cs="Arial"/>
          <w:bCs/>
          <w:szCs w:val="24"/>
        </w:rPr>
        <w:t xml:space="preserve"> the debt</w:t>
      </w:r>
      <w:r w:rsidR="009466AA">
        <w:rPr>
          <w:rFonts w:cs="Arial"/>
          <w:bCs/>
          <w:szCs w:val="24"/>
        </w:rPr>
        <w:t xml:space="preserve"> liability will</w:t>
      </w:r>
      <w:r w:rsidRPr="00BD1B30">
        <w:rPr>
          <w:rFonts w:cs="Arial"/>
          <w:bCs/>
          <w:szCs w:val="24"/>
        </w:rPr>
        <w:t xml:space="preserve"> be repaid over a period reasonably commensurate with that over which the capital expenditure benefits. </w:t>
      </w:r>
      <w:r w:rsidRPr="00CB090A">
        <w:rPr>
          <w:rFonts w:cs="Arial"/>
          <w:bCs/>
          <w:szCs w:val="24"/>
        </w:rPr>
        <w:t>The Council is recommended to approve the statement as detailed in Appendix C.</w:t>
      </w:r>
      <w:r w:rsidRPr="00BD1B30">
        <w:rPr>
          <w:rFonts w:cs="Arial"/>
          <w:bCs/>
          <w:szCs w:val="24"/>
        </w:rPr>
        <w:t xml:space="preserve"> </w:t>
      </w:r>
    </w:p>
    <w:p w14:paraId="5AB93268" w14:textId="77777777" w:rsidR="0098041F" w:rsidRPr="00BD1B30" w:rsidRDefault="0098041F" w:rsidP="0099334D">
      <w:pPr>
        <w:pStyle w:val="ListParagraph"/>
        <w:ind w:left="0"/>
        <w:rPr>
          <w:rFonts w:cs="Arial"/>
          <w:bCs/>
          <w:szCs w:val="24"/>
        </w:rPr>
      </w:pPr>
    </w:p>
    <w:p w14:paraId="0DCFB7E5" w14:textId="13EA065F" w:rsidR="0098041F" w:rsidRPr="00BD1B30" w:rsidRDefault="0098041F" w:rsidP="0099334D">
      <w:pPr>
        <w:pStyle w:val="ListParagraph"/>
        <w:numPr>
          <w:ilvl w:val="0"/>
          <w:numId w:val="13"/>
        </w:numPr>
        <w:ind w:left="0" w:hanging="720"/>
        <w:rPr>
          <w:rFonts w:cs="Arial"/>
          <w:bCs/>
          <w:szCs w:val="24"/>
        </w:rPr>
      </w:pPr>
      <w:r w:rsidRPr="00BD1B30">
        <w:rPr>
          <w:rFonts w:cs="Arial"/>
          <w:bCs/>
          <w:szCs w:val="24"/>
        </w:rPr>
        <w:t>There is no requirement on the HRA to make a minimum revenue provision but there is a requirement for a</w:t>
      </w:r>
      <w:r w:rsidR="00E13783">
        <w:rPr>
          <w:rFonts w:cs="Arial"/>
          <w:bCs/>
          <w:szCs w:val="24"/>
        </w:rPr>
        <w:t xml:space="preserve"> depreciation</w:t>
      </w:r>
      <w:r w:rsidRPr="00BD1B30">
        <w:rPr>
          <w:rFonts w:cs="Arial"/>
          <w:bCs/>
          <w:szCs w:val="24"/>
        </w:rPr>
        <w:t xml:space="preserve"> charge to be made. </w:t>
      </w:r>
    </w:p>
    <w:p w14:paraId="74CE862F" w14:textId="77777777" w:rsidR="0098041F" w:rsidRPr="00BD1B30" w:rsidRDefault="0098041F" w:rsidP="0099334D">
      <w:pPr>
        <w:pStyle w:val="ListParagraph"/>
        <w:ind w:left="0"/>
        <w:rPr>
          <w:rFonts w:cs="Arial"/>
          <w:bCs/>
          <w:szCs w:val="24"/>
        </w:rPr>
      </w:pPr>
    </w:p>
    <w:p w14:paraId="4ED67373" w14:textId="7DC3A50A" w:rsidR="0098041F" w:rsidRPr="00C20C61" w:rsidRDefault="0098041F" w:rsidP="0099334D">
      <w:pPr>
        <w:pStyle w:val="ListParagraph"/>
        <w:numPr>
          <w:ilvl w:val="0"/>
          <w:numId w:val="13"/>
        </w:numPr>
        <w:ind w:left="0" w:hanging="720"/>
        <w:rPr>
          <w:rFonts w:cs="Arial"/>
          <w:bCs/>
          <w:szCs w:val="24"/>
        </w:rPr>
      </w:pPr>
      <w:r w:rsidRPr="00BD1B30">
        <w:rPr>
          <w:rFonts w:cs="Arial"/>
          <w:bCs/>
          <w:szCs w:val="24"/>
        </w:rPr>
        <w:t>MRP Overpayments - A change introduced by the revised</w:t>
      </w:r>
      <w:r w:rsidR="00545F8B" w:rsidRPr="00BD1B30">
        <w:rPr>
          <w:rFonts w:cs="Arial"/>
          <w:bCs/>
          <w:szCs w:val="24"/>
        </w:rPr>
        <w:t xml:space="preserve"> 2018 </w:t>
      </w:r>
      <w:r w:rsidR="006D0DA5">
        <w:rPr>
          <w:rFonts w:cs="Arial"/>
          <w:bCs/>
          <w:szCs w:val="24"/>
        </w:rPr>
        <w:t>DLUHC</w:t>
      </w:r>
      <w:r w:rsidR="00545F8B" w:rsidRPr="00BD1B30">
        <w:rPr>
          <w:rFonts w:cs="Arial"/>
          <w:bCs/>
          <w:szCs w:val="24"/>
        </w:rPr>
        <w:t xml:space="preserve"> (</w:t>
      </w:r>
      <w:r w:rsidR="006D0DA5">
        <w:rPr>
          <w:rFonts w:cs="Arial"/>
          <w:bCs/>
          <w:szCs w:val="24"/>
        </w:rPr>
        <w:t>previously MHCLG)</w:t>
      </w:r>
      <w:r w:rsidRPr="00BD1B30">
        <w:rPr>
          <w:rFonts w:cs="Arial"/>
          <w:bCs/>
          <w:szCs w:val="24"/>
        </w:rPr>
        <w:t xml:space="preserve"> MRP Guidance was </w:t>
      </w:r>
      <w:r w:rsidR="006D0DA5">
        <w:rPr>
          <w:rFonts w:cs="Arial"/>
          <w:bCs/>
          <w:szCs w:val="24"/>
        </w:rPr>
        <w:t xml:space="preserve">an </w:t>
      </w:r>
      <w:r w:rsidRPr="00BD1B30">
        <w:rPr>
          <w:rFonts w:cs="Arial"/>
          <w:bCs/>
          <w:szCs w:val="24"/>
        </w:rPr>
        <w:t>allowance that any charges made over the statutory MRP</w:t>
      </w:r>
      <w:r w:rsidR="00545F8B" w:rsidRPr="00BD1B30">
        <w:rPr>
          <w:rFonts w:cs="Arial"/>
          <w:bCs/>
          <w:szCs w:val="24"/>
        </w:rPr>
        <w:t xml:space="preserve"> required</w:t>
      </w:r>
      <w:r w:rsidRPr="00BD1B30">
        <w:rPr>
          <w:rFonts w:cs="Arial"/>
          <w:bCs/>
          <w:szCs w:val="24"/>
        </w:rPr>
        <w:t>,</w:t>
      </w:r>
      <w:r w:rsidR="00545F8B" w:rsidRPr="00BD1B30">
        <w:rPr>
          <w:rFonts w:cs="Arial"/>
          <w:bCs/>
          <w:szCs w:val="24"/>
        </w:rPr>
        <w:t xml:space="preserve"> referred to as an overpayment and itemised as a</w:t>
      </w:r>
      <w:r w:rsidRPr="00BD1B30">
        <w:rPr>
          <w:rFonts w:cs="Arial"/>
          <w:bCs/>
          <w:szCs w:val="24"/>
        </w:rPr>
        <w:t xml:space="preserve"> </w:t>
      </w:r>
      <w:r w:rsidR="009466AA">
        <w:rPr>
          <w:rFonts w:cs="Arial"/>
          <w:bCs/>
          <w:szCs w:val="24"/>
        </w:rPr>
        <w:t>V</w:t>
      </w:r>
      <w:r w:rsidRPr="00BD1B30">
        <w:rPr>
          <w:rFonts w:cs="Arial"/>
          <w:bCs/>
          <w:szCs w:val="24"/>
        </w:rPr>
        <w:t xml:space="preserve">oluntary </w:t>
      </w:r>
      <w:r w:rsidR="009466AA">
        <w:rPr>
          <w:rFonts w:cs="Arial"/>
          <w:bCs/>
          <w:szCs w:val="24"/>
        </w:rPr>
        <w:t>R</w:t>
      </w:r>
      <w:r w:rsidRPr="00BD1B30">
        <w:rPr>
          <w:rFonts w:cs="Arial"/>
          <w:bCs/>
          <w:szCs w:val="24"/>
        </w:rPr>
        <w:t xml:space="preserve">evenue </w:t>
      </w:r>
      <w:r w:rsidR="009466AA">
        <w:rPr>
          <w:rFonts w:cs="Arial"/>
          <w:bCs/>
          <w:szCs w:val="24"/>
        </w:rPr>
        <w:t>P</w:t>
      </w:r>
      <w:r w:rsidRPr="00BD1B30">
        <w:rPr>
          <w:rFonts w:cs="Arial"/>
          <w:bCs/>
          <w:szCs w:val="24"/>
        </w:rPr>
        <w:t xml:space="preserve">rovision (VRP) can, if needed, be reclaimed in later years if deemed necessary or prudent.  </w:t>
      </w:r>
      <w:proofErr w:type="gramStart"/>
      <w:r w:rsidRPr="00BD1B30">
        <w:rPr>
          <w:rFonts w:cs="Arial"/>
          <w:bCs/>
          <w:szCs w:val="24"/>
        </w:rPr>
        <w:t>In order for</w:t>
      </w:r>
      <w:proofErr w:type="gramEnd"/>
      <w:r w:rsidRPr="00BD1B30">
        <w:rPr>
          <w:rFonts w:cs="Arial"/>
          <w:bCs/>
          <w:szCs w:val="24"/>
        </w:rPr>
        <w:t xml:space="preserve"> these sums to be reclaimed for use in the budget, it is recommended to disclose the cumulative overpayment made each year in a disclosure statement to full Council. </w:t>
      </w:r>
      <w:r w:rsidRPr="006D0DA5">
        <w:rPr>
          <w:rFonts w:cs="Arial"/>
          <w:bCs/>
          <w:color w:val="FF0000"/>
          <w:szCs w:val="24"/>
        </w:rPr>
        <w:t xml:space="preserve"> </w:t>
      </w:r>
      <w:bookmarkStart w:id="3" w:name="_Hlk156581143"/>
      <w:proofErr w:type="gramStart"/>
      <w:r w:rsidRPr="00C20C61">
        <w:rPr>
          <w:rFonts w:cs="Arial"/>
          <w:bCs/>
          <w:szCs w:val="24"/>
        </w:rPr>
        <w:t>A</w:t>
      </w:r>
      <w:r w:rsidR="00024543" w:rsidRPr="00C20C61">
        <w:rPr>
          <w:rFonts w:cs="Arial"/>
          <w:bCs/>
          <w:szCs w:val="24"/>
        </w:rPr>
        <w:t>t</w:t>
      </w:r>
      <w:proofErr w:type="gramEnd"/>
      <w:r w:rsidR="00024543" w:rsidRPr="00C20C61">
        <w:rPr>
          <w:rFonts w:cs="Arial"/>
          <w:bCs/>
          <w:szCs w:val="24"/>
        </w:rPr>
        <w:t xml:space="preserve"> </w:t>
      </w:r>
      <w:r w:rsidRPr="00C20C61">
        <w:rPr>
          <w:rFonts w:cs="Arial"/>
          <w:bCs/>
          <w:szCs w:val="24"/>
        </w:rPr>
        <w:t>31 March 202</w:t>
      </w:r>
      <w:r w:rsidR="00E13783" w:rsidRPr="00C20C61">
        <w:rPr>
          <w:rFonts w:cs="Arial"/>
          <w:bCs/>
          <w:szCs w:val="24"/>
        </w:rPr>
        <w:t>3</w:t>
      </w:r>
      <w:r w:rsidRPr="00C20C61">
        <w:rPr>
          <w:rFonts w:cs="Arial"/>
          <w:bCs/>
          <w:szCs w:val="24"/>
        </w:rPr>
        <w:t xml:space="preserve"> the balance of VRP </w:t>
      </w:r>
      <w:r w:rsidR="000B1AA0" w:rsidRPr="00C20C61">
        <w:rPr>
          <w:rFonts w:cs="Arial"/>
          <w:bCs/>
          <w:szCs w:val="24"/>
        </w:rPr>
        <w:t>was</w:t>
      </w:r>
      <w:r w:rsidRPr="00C20C61">
        <w:rPr>
          <w:rFonts w:cs="Arial"/>
          <w:bCs/>
          <w:szCs w:val="24"/>
        </w:rPr>
        <w:t xml:space="preserve"> £</w:t>
      </w:r>
      <w:r w:rsidR="00C20C61" w:rsidRPr="00C20C61">
        <w:rPr>
          <w:rFonts w:cs="Arial"/>
          <w:bCs/>
          <w:szCs w:val="24"/>
        </w:rPr>
        <w:t>6.8</w:t>
      </w:r>
      <w:r w:rsidRPr="00C20C61">
        <w:rPr>
          <w:rFonts w:cs="Arial"/>
          <w:bCs/>
          <w:szCs w:val="24"/>
        </w:rPr>
        <w:t>m (£</w:t>
      </w:r>
      <w:r w:rsidR="0079229A" w:rsidRPr="00C20C61">
        <w:rPr>
          <w:rFonts w:cs="Arial"/>
          <w:bCs/>
          <w:szCs w:val="24"/>
        </w:rPr>
        <w:t>6.</w:t>
      </w:r>
      <w:r w:rsidR="0010208A">
        <w:rPr>
          <w:rFonts w:cs="Arial"/>
          <w:bCs/>
          <w:szCs w:val="24"/>
        </w:rPr>
        <w:t>8</w:t>
      </w:r>
      <w:r w:rsidRPr="00C20C61">
        <w:rPr>
          <w:rFonts w:cs="Arial"/>
          <w:bCs/>
          <w:szCs w:val="24"/>
        </w:rPr>
        <w:t>m 31 March 20</w:t>
      </w:r>
      <w:r w:rsidR="00791592" w:rsidRPr="00C20C61">
        <w:rPr>
          <w:rFonts w:cs="Arial"/>
          <w:bCs/>
          <w:szCs w:val="24"/>
        </w:rPr>
        <w:t>2</w:t>
      </w:r>
      <w:r w:rsidR="00E13783" w:rsidRPr="00C20C61">
        <w:rPr>
          <w:rFonts w:cs="Arial"/>
          <w:bCs/>
          <w:szCs w:val="24"/>
        </w:rPr>
        <w:t>2</w:t>
      </w:r>
      <w:r w:rsidRPr="00C20C61">
        <w:rPr>
          <w:rFonts w:cs="Arial"/>
          <w:bCs/>
          <w:szCs w:val="24"/>
        </w:rPr>
        <w:t>).</w:t>
      </w:r>
    </w:p>
    <w:p w14:paraId="262F7525" w14:textId="77777777" w:rsidR="006D0DA5" w:rsidRPr="002C00BA" w:rsidRDefault="006D0DA5" w:rsidP="0099334D">
      <w:pPr>
        <w:pStyle w:val="ListParagraph"/>
        <w:rPr>
          <w:rFonts w:cs="Arial"/>
          <w:bCs/>
          <w:szCs w:val="24"/>
        </w:rPr>
      </w:pPr>
    </w:p>
    <w:p w14:paraId="7C2C2001" w14:textId="0A002C2A" w:rsidR="006D0DA5" w:rsidRPr="00C15C28" w:rsidRDefault="006D0DA5" w:rsidP="0099334D">
      <w:pPr>
        <w:pStyle w:val="ListParagraph"/>
        <w:numPr>
          <w:ilvl w:val="0"/>
          <w:numId w:val="13"/>
        </w:numPr>
        <w:ind w:left="0" w:hanging="720"/>
        <w:rPr>
          <w:rFonts w:cs="Arial"/>
          <w:b/>
          <w:noProof/>
          <w:szCs w:val="24"/>
        </w:rPr>
      </w:pPr>
      <w:r w:rsidRPr="00C15C28">
        <w:rPr>
          <w:rFonts w:cs="Arial"/>
          <w:bCs/>
          <w:szCs w:val="24"/>
        </w:rPr>
        <w:t>DLUHC is currently consulting on revisions to the Statutory MRP Guidance with the expectation that new Guidance will be published for application from the 1 April 2024</w:t>
      </w:r>
      <w:r w:rsidR="002C00BA" w:rsidRPr="00C15C28">
        <w:rPr>
          <w:rFonts w:cs="Arial"/>
          <w:bCs/>
          <w:szCs w:val="24"/>
        </w:rPr>
        <w:t>.  Should the</w:t>
      </w:r>
      <w:r w:rsidR="00E13783" w:rsidRPr="00C15C28">
        <w:rPr>
          <w:rFonts w:cs="Arial"/>
          <w:bCs/>
          <w:szCs w:val="24"/>
        </w:rPr>
        <w:t xml:space="preserve"> </w:t>
      </w:r>
      <w:proofErr w:type="gramStart"/>
      <w:r w:rsidR="00E13783" w:rsidRPr="00C15C28">
        <w:rPr>
          <w:rFonts w:cs="Arial"/>
          <w:bCs/>
          <w:szCs w:val="24"/>
        </w:rPr>
        <w:t>final</w:t>
      </w:r>
      <w:r w:rsidR="002C00BA" w:rsidRPr="00C15C28">
        <w:rPr>
          <w:rFonts w:cs="Arial"/>
          <w:bCs/>
          <w:szCs w:val="24"/>
        </w:rPr>
        <w:t xml:space="preserve"> outcome</w:t>
      </w:r>
      <w:proofErr w:type="gramEnd"/>
      <w:r w:rsidR="002C00BA" w:rsidRPr="00C15C28">
        <w:rPr>
          <w:rFonts w:cs="Arial"/>
          <w:bCs/>
          <w:szCs w:val="24"/>
        </w:rPr>
        <w:t xml:space="preserve"> of the consultation require </w:t>
      </w:r>
      <w:r w:rsidR="00C87D53" w:rsidRPr="00C15C28">
        <w:rPr>
          <w:rFonts w:cs="Arial"/>
          <w:bCs/>
          <w:szCs w:val="24"/>
        </w:rPr>
        <w:lastRenderedPageBreak/>
        <w:t>amendments</w:t>
      </w:r>
      <w:r w:rsidR="002C00BA" w:rsidRPr="00C15C28">
        <w:rPr>
          <w:rFonts w:cs="Arial"/>
          <w:bCs/>
          <w:szCs w:val="24"/>
        </w:rPr>
        <w:t xml:space="preserve"> to the</w:t>
      </w:r>
      <w:r w:rsidR="00C87D53" w:rsidRPr="00C15C28">
        <w:rPr>
          <w:rFonts w:cs="Arial"/>
          <w:bCs/>
          <w:szCs w:val="24"/>
        </w:rPr>
        <w:t xml:space="preserve"> Council’s</w:t>
      </w:r>
      <w:r w:rsidR="002C00BA" w:rsidRPr="00C15C28">
        <w:rPr>
          <w:rFonts w:cs="Arial"/>
          <w:bCs/>
          <w:szCs w:val="24"/>
        </w:rPr>
        <w:t xml:space="preserve"> current MRP Policy</w:t>
      </w:r>
      <w:r w:rsidR="00C87D53" w:rsidRPr="00C15C28">
        <w:rPr>
          <w:rFonts w:cs="Arial"/>
          <w:bCs/>
          <w:szCs w:val="24"/>
        </w:rPr>
        <w:t xml:space="preserve"> contained in Appendix C</w:t>
      </w:r>
      <w:r w:rsidR="002C00BA" w:rsidRPr="00C15C28">
        <w:rPr>
          <w:rFonts w:cs="Arial"/>
          <w:bCs/>
          <w:szCs w:val="24"/>
        </w:rPr>
        <w:t xml:space="preserve">, </w:t>
      </w:r>
      <w:r w:rsidR="00C87D53" w:rsidRPr="00C15C28">
        <w:rPr>
          <w:rFonts w:cs="Arial"/>
          <w:bCs/>
          <w:szCs w:val="24"/>
        </w:rPr>
        <w:t>a revised MRP Policy</w:t>
      </w:r>
      <w:r w:rsidR="002C00BA" w:rsidRPr="00C15C28">
        <w:rPr>
          <w:rFonts w:cs="Arial"/>
          <w:bCs/>
          <w:szCs w:val="24"/>
        </w:rPr>
        <w:t xml:space="preserve"> will be presented to Full Council for approval as part of either the Mid</w:t>
      </w:r>
      <w:r w:rsidR="00C87D53" w:rsidRPr="00C15C28">
        <w:rPr>
          <w:rFonts w:cs="Arial"/>
          <w:bCs/>
          <w:szCs w:val="24"/>
        </w:rPr>
        <w:t>-</w:t>
      </w:r>
      <w:r w:rsidR="002C00BA" w:rsidRPr="00C15C28">
        <w:rPr>
          <w:rFonts w:cs="Arial"/>
          <w:bCs/>
          <w:szCs w:val="24"/>
        </w:rPr>
        <w:t>Year Treasury Report or at an earlier date.</w:t>
      </w:r>
      <w:r w:rsidR="002C00BA" w:rsidRPr="00C15C28">
        <w:rPr>
          <w:rFonts w:cs="Arial"/>
          <w:b/>
          <w:noProof/>
          <w:szCs w:val="24"/>
        </w:rPr>
        <w:t xml:space="preserve"> </w:t>
      </w:r>
    </w:p>
    <w:p w14:paraId="0FE795B3" w14:textId="77777777" w:rsidR="005858F4" w:rsidRPr="0039072F" w:rsidRDefault="005858F4" w:rsidP="0099334D">
      <w:pPr>
        <w:pStyle w:val="subhead"/>
        <w:numPr>
          <w:ilvl w:val="0"/>
          <w:numId w:val="0"/>
        </w:numPr>
        <w:jc w:val="left"/>
        <w:rPr>
          <w:sz w:val="24"/>
          <w:szCs w:val="24"/>
        </w:rPr>
      </w:pPr>
      <w:bookmarkStart w:id="4" w:name="_Toc60749547"/>
      <w:bookmarkEnd w:id="3"/>
      <w:r w:rsidRPr="0039072F">
        <w:rPr>
          <w:sz w:val="24"/>
          <w:szCs w:val="24"/>
        </w:rPr>
        <w:t>Core funds and expected investment balances</w:t>
      </w:r>
      <w:bookmarkEnd w:id="4"/>
    </w:p>
    <w:p w14:paraId="4C266805" w14:textId="77777777" w:rsidR="005858F4" w:rsidRPr="00BD1B30" w:rsidRDefault="005858F4" w:rsidP="0099334D">
      <w:pPr>
        <w:pStyle w:val="ListParagraph"/>
        <w:numPr>
          <w:ilvl w:val="0"/>
          <w:numId w:val="13"/>
        </w:numPr>
        <w:ind w:left="0" w:hanging="720"/>
        <w:rPr>
          <w:rFonts w:cs="Arial"/>
          <w:bCs/>
          <w:szCs w:val="24"/>
        </w:rPr>
      </w:pPr>
      <w:r w:rsidRPr="00BD1B30">
        <w:rPr>
          <w:rFonts w:cs="Arial"/>
          <w:bCs/>
          <w:szCs w:val="24"/>
        </w:rPr>
        <w:t>The application of resources (grants, capital receipts etc.) to finance capital expenditure or budget decisions to support the revenue budget will have an ongoing impact on investments unless resources are supplemented each year from new sources (asset sales etc.).</w:t>
      </w:r>
    </w:p>
    <w:p w14:paraId="4266A2EF" w14:textId="64FAF58D" w:rsidR="005858F4" w:rsidRPr="00BD1B30" w:rsidRDefault="005858F4" w:rsidP="0099334D">
      <w:pPr>
        <w:pStyle w:val="ListParagraph"/>
        <w:ind w:left="0"/>
        <w:rPr>
          <w:rFonts w:cs="Arial"/>
          <w:bCs/>
          <w:szCs w:val="24"/>
        </w:rPr>
      </w:pPr>
    </w:p>
    <w:p w14:paraId="7685796C" w14:textId="0C0F17D5" w:rsidR="005858F4" w:rsidRDefault="005858F4" w:rsidP="0099334D">
      <w:pPr>
        <w:pStyle w:val="ListParagraph"/>
        <w:numPr>
          <w:ilvl w:val="0"/>
          <w:numId w:val="13"/>
        </w:numPr>
        <w:ind w:left="0" w:hanging="720"/>
        <w:rPr>
          <w:rFonts w:cs="Arial"/>
          <w:bCs/>
          <w:szCs w:val="24"/>
        </w:rPr>
      </w:pPr>
      <w:r w:rsidRPr="00BD1B30">
        <w:rPr>
          <w:rFonts w:cs="Arial"/>
          <w:bCs/>
          <w:szCs w:val="24"/>
        </w:rPr>
        <w:t xml:space="preserve">The cash investment balance will be kept at </w:t>
      </w:r>
      <w:r w:rsidR="00B445A1" w:rsidRPr="00BD1B30">
        <w:rPr>
          <w:rFonts w:cs="Arial"/>
          <w:bCs/>
          <w:szCs w:val="24"/>
        </w:rPr>
        <w:t xml:space="preserve">a minimum of </w:t>
      </w:r>
      <w:r w:rsidRPr="00BD1B30">
        <w:rPr>
          <w:rFonts w:cs="Arial"/>
          <w:bCs/>
          <w:szCs w:val="24"/>
        </w:rPr>
        <w:t>£</w:t>
      </w:r>
      <w:r w:rsidR="00791592" w:rsidRPr="00BD1B30">
        <w:rPr>
          <w:rFonts w:cs="Arial"/>
          <w:bCs/>
          <w:szCs w:val="24"/>
        </w:rPr>
        <w:t>30</w:t>
      </w:r>
      <w:r w:rsidRPr="00BD1B30">
        <w:rPr>
          <w:rFonts w:cs="Arial"/>
          <w:bCs/>
          <w:szCs w:val="24"/>
        </w:rPr>
        <w:t>m. The working capital and borrowing position will be managed to maintain this level of cash balances</w:t>
      </w:r>
      <w:r w:rsidR="00B445A1" w:rsidRPr="00BD1B30">
        <w:rPr>
          <w:rFonts w:cs="Arial"/>
          <w:bCs/>
          <w:szCs w:val="24"/>
        </w:rPr>
        <w:t xml:space="preserve"> as a minimum position for the Authority.</w:t>
      </w:r>
      <w:r w:rsidR="00E630F7" w:rsidRPr="00BD1B30">
        <w:rPr>
          <w:rFonts w:cs="Arial"/>
          <w:bCs/>
          <w:szCs w:val="24"/>
        </w:rPr>
        <w:t xml:space="preserve">  This has been incorporated as the liquidity allowance within the Liability Benchmark</w:t>
      </w:r>
      <w:r w:rsidR="00C87D53">
        <w:rPr>
          <w:rFonts w:cs="Arial"/>
          <w:bCs/>
          <w:szCs w:val="24"/>
        </w:rPr>
        <w:t xml:space="preserve"> in paragraphs 2.</w:t>
      </w:r>
      <w:r w:rsidR="00C20C61">
        <w:rPr>
          <w:rFonts w:cs="Arial"/>
          <w:bCs/>
          <w:szCs w:val="24"/>
        </w:rPr>
        <w:t>10</w:t>
      </w:r>
      <w:r w:rsidR="00C87D53">
        <w:rPr>
          <w:rFonts w:cs="Arial"/>
          <w:bCs/>
          <w:szCs w:val="24"/>
        </w:rPr>
        <w:t xml:space="preserve"> – 2.1</w:t>
      </w:r>
      <w:r w:rsidR="00C20C61">
        <w:rPr>
          <w:rFonts w:cs="Arial"/>
          <w:bCs/>
          <w:szCs w:val="24"/>
        </w:rPr>
        <w:t>9</w:t>
      </w:r>
      <w:r w:rsidR="00E630F7" w:rsidRPr="00BD1B30">
        <w:rPr>
          <w:rFonts w:cs="Arial"/>
          <w:bCs/>
          <w:szCs w:val="24"/>
        </w:rPr>
        <w:t>.</w:t>
      </w:r>
    </w:p>
    <w:p w14:paraId="1FB0B0D4" w14:textId="77777777" w:rsidR="00BD1B30" w:rsidRPr="00BD1B30" w:rsidRDefault="00BD1B30" w:rsidP="0099334D">
      <w:pPr>
        <w:pStyle w:val="ListParagraph"/>
        <w:ind w:left="0"/>
        <w:rPr>
          <w:rFonts w:cs="Arial"/>
          <w:bCs/>
          <w:szCs w:val="24"/>
        </w:rPr>
      </w:pPr>
    </w:p>
    <w:p w14:paraId="0549C25F" w14:textId="48352884" w:rsidR="005858F4" w:rsidRPr="003D6E2F" w:rsidRDefault="005858F4" w:rsidP="0099334D">
      <w:pPr>
        <w:pStyle w:val="Heading2"/>
        <w:rPr>
          <w:rFonts w:ascii="Arial" w:hAnsi="Arial"/>
          <w:sz w:val="28"/>
          <w:szCs w:val="28"/>
        </w:rPr>
      </w:pPr>
      <w:r w:rsidRPr="003D6E2F">
        <w:rPr>
          <w:rFonts w:ascii="Arial" w:hAnsi="Arial"/>
          <w:sz w:val="28"/>
          <w:szCs w:val="28"/>
        </w:rPr>
        <w:t xml:space="preserve">Borrowing </w:t>
      </w:r>
    </w:p>
    <w:p w14:paraId="3A603D80" w14:textId="19242068" w:rsidR="005858F4" w:rsidRDefault="005858F4" w:rsidP="0099334D"/>
    <w:p w14:paraId="60AA745E" w14:textId="080764EC" w:rsidR="005858F4" w:rsidRPr="00BD1B30" w:rsidRDefault="005858F4" w:rsidP="0099334D">
      <w:pPr>
        <w:pStyle w:val="ListParagraph"/>
        <w:numPr>
          <w:ilvl w:val="0"/>
          <w:numId w:val="14"/>
        </w:numPr>
        <w:ind w:left="0" w:hanging="720"/>
        <w:rPr>
          <w:rFonts w:cs="Arial"/>
          <w:bCs/>
          <w:szCs w:val="24"/>
        </w:rPr>
      </w:pPr>
      <w:r w:rsidRPr="00BD1B30">
        <w:rPr>
          <w:rFonts w:cs="Arial"/>
          <w:bCs/>
          <w:szCs w:val="24"/>
        </w:rPr>
        <w:t xml:space="preserve">The capital expenditure plans set out in Table 1 provide details of the service activity of the Council. The treasury management function ensures that the Council’s cash is organised in accordance with the relevant professional codes, so that sufficient cash is available to meet this service activity and the Council’s capital strategy. This will involve both the organisation of the cash flow and, where capital plans require, the organisation of appropriate borrowing facilities. The strategy covers the relevant treasury / prudential indicators, the current and projected debt </w:t>
      </w:r>
      <w:proofErr w:type="gramStart"/>
      <w:r w:rsidRPr="00BD1B30">
        <w:rPr>
          <w:rFonts w:cs="Arial"/>
          <w:bCs/>
          <w:szCs w:val="24"/>
        </w:rPr>
        <w:t>positions</w:t>
      </w:r>
      <w:proofErr w:type="gramEnd"/>
      <w:r w:rsidRPr="00BD1B30">
        <w:rPr>
          <w:rFonts w:cs="Arial"/>
          <w:bCs/>
          <w:szCs w:val="24"/>
        </w:rPr>
        <w:t xml:space="preserve"> and the annual investment strategy</w:t>
      </w:r>
      <w:r w:rsidR="00793504">
        <w:rPr>
          <w:rFonts w:cs="Arial"/>
          <w:bCs/>
          <w:szCs w:val="24"/>
        </w:rPr>
        <w:t>.</w:t>
      </w:r>
    </w:p>
    <w:p w14:paraId="063F1484" w14:textId="452E53A2" w:rsidR="005858F4" w:rsidRPr="005858F4" w:rsidRDefault="005858F4" w:rsidP="0099334D">
      <w:pPr>
        <w:pStyle w:val="subhead"/>
        <w:numPr>
          <w:ilvl w:val="0"/>
          <w:numId w:val="0"/>
        </w:numPr>
        <w:ind w:left="360" w:hanging="360"/>
        <w:jc w:val="left"/>
        <w:rPr>
          <w:bCs/>
          <w:noProof w:val="0"/>
          <w:sz w:val="24"/>
          <w:szCs w:val="24"/>
        </w:rPr>
      </w:pPr>
      <w:bookmarkStart w:id="5" w:name="_Toc60749549"/>
      <w:r w:rsidRPr="005858F4">
        <w:rPr>
          <w:bCs/>
          <w:noProof w:val="0"/>
          <w:sz w:val="24"/>
          <w:szCs w:val="24"/>
        </w:rPr>
        <w:t>Current portfolio position</w:t>
      </w:r>
      <w:bookmarkEnd w:id="5"/>
    </w:p>
    <w:p w14:paraId="3D02C1AD" w14:textId="41DC2D4E" w:rsidR="005858F4" w:rsidRPr="00BD1B30" w:rsidRDefault="005858F4" w:rsidP="0099334D">
      <w:pPr>
        <w:pStyle w:val="ListParagraph"/>
        <w:numPr>
          <w:ilvl w:val="0"/>
          <w:numId w:val="14"/>
        </w:numPr>
        <w:ind w:left="0" w:hanging="720"/>
        <w:rPr>
          <w:rFonts w:cs="Arial"/>
          <w:bCs/>
          <w:szCs w:val="24"/>
        </w:rPr>
      </w:pPr>
      <w:r w:rsidRPr="00BD1B30">
        <w:rPr>
          <w:rFonts w:cs="Arial"/>
          <w:bCs/>
          <w:szCs w:val="24"/>
        </w:rPr>
        <w:t xml:space="preserve">The overall treasury management portfolio </w:t>
      </w:r>
      <w:r w:rsidR="00024543" w:rsidRPr="00BD1B30">
        <w:rPr>
          <w:rFonts w:cs="Arial"/>
          <w:bCs/>
          <w:szCs w:val="24"/>
        </w:rPr>
        <w:t>on</w:t>
      </w:r>
      <w:r w:rsidRPr="00BD1B30">
        <w:rPr>
          <w:rFonts w:cs="Arial"/>
          <w:bCs/>
          <w:szCs w:val="24"/>
        </w:rPr>
        <w:t xml:space="preserve"> 31 March 202</w:t>
      </w:r>
      <w:r w:rsidR="00793504">
        <w:rPr>
          <w:rFonts w:cs="Arial"/>
          <w:bCs/>
          <w:szCs w:val="24"/>
        </w:rPr>
        <w:t>3</w:t>
      </w:r>
      <w:r w:rsidRPr="00BD1B30">
        <w:rPr>
          <w:rFonts w:cs="Arial"/>
          <w:bCs/>
          <w:szCs w:val="24"/>
        </w:rPr>
        <w:t xml:space="preserve"> and </w:t>
      </w:r>
      <w:r w:rsidR="00024543" w:rsidRPr="00BD1B30">
        <w:rPr>
          <w:rFonts w:cs="Arial"/>
          <w:bCs/>
          <w:szCs w:val="24"/>
        </w:rPr>
        <w:t>corresponding</w:t>
      </w:r>
      <w:r w:rsidRPr="00BD1B30">
        <w:rPr>
          <w:rFonts w:cs="Arial"/>
          <w:bCs/>
          <w:szCs w:val="24"/>
        </w:rPr>
        <w:t xml:space="preserve"> position </w:t>
      </w:r>
      <w:proofErr w:type="gramStart"/>
      <w:r w:rsidR="001D3CA8" w:rsidRPr="00BD1B30">
        <w:rPr>
          <w:rFonts w:cs="Arial"/>
          <w:bCs/>
          <w:szCs w:val="24"/>
        </w:rPr>
        <w:t>at</w:t>
      </w:r>
      <w:proofErr w:type="gramEnd"/>
      <w:r w:rsidRPr="00BD1B30">
        <w:rPr>
          <w:rFonts w:cs="Arial"/>
          <w:bCs/>
          <w:szCs w:val="24"/>
        </w:rPr>
        <w:t xml:space="preserve"> 31 December 202</w:t>
      </w:r>
      <w:r w:rsidR="00793504">
        <w:rPr>
          <w:rFonts w:cs="Arial"/>
          <w:bCs/>
          <w:szCs w:val="24"/>
        </w:rPr>
        <w:t>3</w:t>
      </w:r>
      <w:r w:rsidRPr="00BD1B30">
        <w:rPr>
          <w:rFonts w:cs="Arial"/>
          <w:bCs/>
          <w:szCs w:val="24"/>
        </w:rPr>
        <w:t xml:space="preserve"> are shown below for both borrowing and investments.</w:t>
      </w:r>
    </w:p>
    <w:p w14:paraId="443980DC" w14:textId="7F383E8B" w:rsidR="00791592" w:rsidRDefault="00791592" w:rsidP="0099334D">
      <w:pPr>
        <w:pStyle w:val="ListParagraph"/>
        <w:tabs>
          <w:tab w:val="left" w:pos="0"/>
        </w:tabs>
        <w:ind w:left="0"/>
        <w:rPr>
          <w:rFonts w:cs="Arial"/>
          <w:szCs w:val="24"/>
          <w:lang w:eastAsia="en-GB"/>
        </w:rPr>
      </w:pPr>
    </w:p>
    <w:p w14:paraId="577A298C" w14:textId="34A8E03C" w:rsidR="006622D9" w:rsidRDefault="00791592" w:rsidP="00791592">
      <w:pPr>
        <w:pStyle w:val="ListParagraph"/>
        <w:tabs>
          <w:tab w:val="left" w:pos="0"/>
        </w:tabs>
        <w:ind w:left="0"/>
        <w:jc w:val="both"/>
        <w:rPr>
          <w:rFonts w:cs="Arial"/>
          <w:sz w:val="20"/>
          <w:lang w:eastAsia="en-GB"/>
        </w:rPr>
      </w:pPr>
      <w:r w:rsidRPr="006622D9">
        <w:rPr>
          <w:rFonts w:cs="Arial"/>
          <w:sz w:val="20"/>
          <w:lang w:eastAsia="en-GB"/>
        </w:rPr>
        <w:t xml:space="preserve">Table </w:t>
      </w:r>
      <w:r w:rsidR="006622D9" w:rsidRPr="006622D9">
        <w:rPr>
          <w:rFonts w:cs="Arial"/>
          <w:sz w:val="20"/>
          <w:lang w:eastAsia="en-GB"/>
        </w:rPr>
        <w:t xml:space="preserve">4: Borrowing </w:t>
      </w:r>
      <w:r w:rsidR="006622D9">
        <w:rPr>
          <w:rFonts w:cs="Arial"/>
          <w:sz w:val="20"/>
          <w:lang w:eastAsia="en-GB"/>
        </w:rPr>
        <w:t>P</w:t>
      </w:r>
      <w:r w:rsidR="006622D9" w:rsidRPr="006622D9">
        <w:rPr>
          <w:rFonts w:cs="Arial"/>
          <w:sz w:val="20"/>
          <w:lang w:eastAsia="en-GB"/>
        </w:rPr>
        <w:t>ortfolio</w:t>
      </w:r>
    </w:p>
    <w:p w14:paraId="4DAF1E89" w14:textId="40DD04FC" w:rsidR="00C87D53" w:rsidRDefault="004A7FEC" w:rsidP="00791592">
      <w:pPr>
        <w:pStyle w:val="ListParagraph"/>
        <w:tabs>
          <w:tab w:val="left" w:pos="0"/>
        </w:tabs>
        <w:ind w:left="0"/>
        <w:jc w:val="both"/>
        <w:rPr>
          <w:rFonts w:cs="Arial"/>
          <w:sz w:val="20"/>
          <w:lang w:eastAsia="en-GB"/>
        </w:rPr>
      </w:pPr>
      <w:r w:rsidRPr="004A7FEC">
        <w:rPr>
          <w:noProof/>
        </w:rPr>
        <w:drawing>
          <wp:inline distT="0" distB="0" distL="0" distR="0" wp14:anchorId="001375A0" wp14:editId="59390BC3">
            <wp:extent cx="5276215" cy="953135"/>
            <wp:effectExtent l="0" t="0" r="63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6215" cy="953135"/>
                    </a:xfrm>
                    <a:prstGeom prst="rect">
                      <a:avLst/>
                    </a:prstGeom>
                    <a:noFill/>
                    <a:ln>
                      <a:noFill/>
                    </a:ln>
                  </pic:spPr>
                </pic:pic>
              </a:graphicData>
            </a:graphic>
          </wp:inline>
        </w:drawing>
      </w:r>
    </w:p>
    <w:p w14:paraId="6D297B28" w14:textId="77777777" w:rsidR="00C87D53" w:rsidRDefault="00C87D53" w:rsidP="00791592">
      <w:pPr>
        <w:pStyle w:val="ListParagraph"/>
        <w:tabs>
          <w:tab w:val="left" w:pos="0"/>
        </w:tabs>
        <w:ind w:left="0"/>
        <w:jc w:val="both"/>
        <w:rPr>
          <w:rFonts w:cs="Arial"/>
          <w:szCs w:val="24"/>
          <w:lang w:eastAsia="en-GB"/>
        </w:rPr>
      </w:pPr>
    </w:p>
    <w:p w14:paraId="70D9C80D" w14:textId="4E553B27" w:rsidR="006622D9" w:rsidRDefault="006622D9" w:rsidP="00C87D53">
      <w:pPr>
        <w:pStyle w:val="ListParagraph"/>
        <w:tabs>
          <w:tab w:val="left" w:pos="0"/>
        </w:tabs>
        <w:ind w:left="0"/>
        <w:jc w:val="both"/>
        <w:rPr>
          <w:rFonts w:cs="Arial"/>
          <w:szCs w:val="24"/>
          <w:lang w:eastAsia="en-GB"/>
        </w:rPr>
      </w:pPr>
      <w:r w:rsidRPr="006622D9">
        <w:rPr>
          <w:rFonts w:cs="Arial"/>
          <w:sz w:val="20"/>
          <w:lang w:eastAsia="en-GB"/>
        </w:rPr>
        <w:t xml:space="preserve">Table 5: Investment </w:t>
      </w:r>
      <w:r>
        <w:rPr>
          <w:rFonts w:cs="Arial"/>
          <w:sz w:val="20"/>
          <w:lang w:eastAsia="en-GB"/>
        </w:rPr>
        <w:t>P</w:t>
      </w:r>
      <w:r w:rsidRPr="006622D9">
        <w:rPr>
          <w:rFonts w:cs="Arial"/>
          <w:sz w:val="20"/>
          <w:lang w:eastAsia="en-GB"/>
        </w:rPr>
        <w:t>ortfolio</w:t>
      </w:r>
    </w:p>
    <w:p w14:paraId="23B72177" w14:textId="1D560C83" w:rsidR="005858F4" w:rsidRPr="00FD35F8" w:rsidRDefault="004A7FEC" w:rsidP="005858F4">
      <w:pPr>
        <w:pStyle w:val="ListParagraph"/>
        <w:tabs>
          <w:tab w:val="left" w:pos="0"/>
        </w:tabs>
        <w:ind w:left="0"/>
        <w:jc w:val="both"/>
        <w:rPr>
          <w:rFonts w:cs="Arial"/>
          <w:szCs w:val="24"/>
          <w:lang w:eastAsia="en-GB"/>
        </w:rPr>
      </w:pPr>
      <w:r w:rsidRPr="00FD35F8">
        <w:rPr>
          <w:noProof/>
        </w:rPr>
        <w:drawing>
          <wp:inline distT="0" distB="0" distL="0" distR="0" wp14:anchorId="1700D063" wp14:editId="446A3E72">
            <wp:extent cx="5276215" cy="1107440"/>
            <wp:effectExtent l="0" t="0" r="63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76215" cy="1107440"/>
                    </a:xfrm>
                    <a:prstGeom prst="rect">
                      <a:avLst/>
                    </a:prstGeom>
                    <a:noFill/>
                    <a:ln>
                      <a:noFill/>
                    </a:ln>
                  </pic:spPr>
                </pic:pic>
              </a:graphicData>
            </a:graphic>
          </wp:inline>
        </w:drawing>
      </w:r>
    </w:p>
    <w:p w14:paraId="7A81FB07" w14:textId="77777777" w:rsidR="00793504" w:rsidRPr="00FD35F8" w:rsidRDefault="00793504" w:rsidP="005858F4">
      <w:pPr>
        <w:pStyle w:val="ListParagraph"/>
        <w:tabs>
          <w:tab w:val="left" w:pos="0"/>
        </w:tabs>
        <w:ind w:left="0"/>
        <w:jc w:val="both"/>
        <w:rPr>
          <w:rFonts w:cs="Arial"/>
          <w:szCs w:val="24"/>
          <w:lang w:eastAsia="en-GB"/>
        </w:rPr>
      </w:pPr>
    </w:p>
    <w:p w14:paraId="2F9314E1" w14:textId="3DAB4F6A" w:rsidR="005858F4" w:rsidRPr="00FD35F8" w:rsidRDefault="005858F4" w:rsidP="0099334D">
      <w:pPr>
        <w:pStyle w:val="ListParagraph"/>
        <w:numPr>
          <w:ilvl w:val="0"/>
          <w:numId w:val="14"/>
        </w:numPr>
        <w:ind w:left="0" w:hanging="720"/>
        <w:rPr>
          <w:rFonts w:cs="Arial"/>
          <w:bCs/>
          <w:szCs w:val="24"/>
        </w:rPr>
      </w:pPr>
      <w:r w:rsidRPr="00FD35F8">
        <w:rPr>
          <w:rFonts w:cs="Arial"/>
          <w:bCs/>
          <w:szCs w:val="24"/>
        </w:rPr>
        <w:t xml:space="preserve">The Council maintains upper and lower limits with respect to the maturity structure of its borrowing.  This Prudential Indicator, reflecting the earliest date at which a lender can require payment is set to ensure refinancing risk is </w:t>
      </w:r>
      <w:r w:rsidRPr="00FD35F8">
        <w:rPr>
          <w:rFonts w:cs="Arial"/>
          <w:bCs/>
          <w:szCs w:val="24"/>
        </w:rPr>
        <w:lastRenderedPageBreak/>
        <w:t xml:space="preserve">managed regarding the concentration of loan maturities in any one period.  Table 6 below illustrates the actual position </w:t>
      </w:r>
      <w:r w:rsidR="00024543" w:rsidRPr="00FD35F8">
        <w:rPr>
          <w:rFonts w:cs="Arial"/>
          <w:bCs/>
          <w:szCs w:val="24"/>
        </w:rPr>
        <w:t>on both</w:t>
      </w:r>
      <w:r w:rsidRPr="00FD35F8">
        <w:rPr>
          <w:rFonts w:cs="Arial"/>
          <w:bCs/>
          <w:szCs w:val="24"/>
        </w:rPr>
        <w:t xml:space="preserve"> 31 March 202</w:t>
      </w:r>
      <w:r w:rsidR="00793504" w:rsidRPr="00FD35F8">
        <w:rPr>
          <w:rFonts w:cs="Arial"/>
          <w:bCs/>
          <w:szCs w:val="24"/>
        </w:rPr>
        <w:t>3</w:t>
      </w:r>
      <w:r w:rsidRPr="00FD35F8">
        <w:rPr>
          <w:rFonts w:cs="Arial"/>
          <w:bCs/>
          <w:szCs w:val="24"/>
        </w:rPr>
        <w:t xml:space="preserve"> and 31 December 202</w:t>
      </w:r>
      <w:r w:rsidR="00793504" w:rsidRPr="00FD35F8">
        <w:rPr>
          <w:rFonts w:cs="Arial"/>
          <w:bCs/>
          <w:szCs w:val="24"/>
        </w:rPr>
        <w:t>3</w:t>
      </w:r>
      <w:r w:rsidRPr="00FD35F8">
        <w:rPr>
          <w:rFonts w:cs="Arial"/>
          <w:bCs/>
          <w:szCs w:val="24"/>
        </w:rPr>
        <w:t>, compared to the upper and lower limits in place</w:t>
      </w:r>
      <w:r w:rsidR="004A7FEC" w:rsidRPr="00FD35F8">
        <w:rPr>
          <w:rFonts w:cs="Arial"/>
          <w:bCs/>
          <w:szCs w:val="24"/>
        </w:rPr>
        <w:t xml:space="preserve">.  The accompanying graphs illustrate the maturity profile, based on the earliest and final maturity dates.  </w:t>
      </w:r>
      <w:r w:rsidR="00C840C9" w:rsidRPr="00C840C9">
        <w:t>The difference is one market LOBO (Lenders Option Borrowers Option) loan, which has a final maturity date of 06/12/2077 but has call dates every 6 months.   This means that under the structure of the loan, the Lender has the option to seek to revise the interest rate on the loan at specific call dates through the loan term.  If that were to happen, the Council as the Borrower would then have the option to either accept the revised interest rate or elect to repay the loan at par without penalty.</w:t>
      </w:r>
    </w:p>
    <w:p w14:paraId="1B51BB6D" w14:textId="77777777" w:rsidR="00793504" w:rsidRDefault="00793504" w:rsidP="00BD1B30">
      <w:pPr>
        <w:tabs>
          <w:tab w:val="num" w:pos="709"/>
        </w:tabs>
        <w:jc w:val="both"/>
      </w:pPr>
    </w:p>
    <w:p w14:paraId="125AEC05" w14:textId="5685BF85" w:rsidR="00793504" w:rsidRDefault="00793504" w:rsidP="00BD1B30">
      <w:pPr>
        <w:tabs>
          <w:tab w:val="num" w:pos="709"/>
        </w:tabs>
        <w:jc w:val="both"/>
      </w:pPr>
      <w:r w:rsidRPr="006622D9">
        <w:rPr>
          <w:rFonts w:cs="Arial"/>
          <w:sz w:val="20"/>
          <w:lang w:eastAsia="en-GB"/>
        </w:rPr>
        <w:t xml:space="preserve">Table 6: Maturity </w:t>
      </w:r>
      <w:r>
        <w:rPr>
          <w:rFonts w:cs="Arial"/>
          <w:sz w:val="20"/>
          <w:lang w:eastAsia="en-GB"/>
        </w:rPr>
        <w:t>S</w:t>
      </w:r>
      <w:r w:rsidRPr="006622D9">
        <w:rPr>
          <w:rFonts w:cs="Arial"/>
          <w:sz w:val="20"/>
          <w:lang w:eastAsia="en-GB"/>
        </w:rPr>
        <w:t xml:space="preserve">tructure of </w:t>
      </w:r>
      <w:r>
        <w:rPr>
          <w:rFonts w:cs="Arial"/>
          <w:sz w:val="20"/>
          <w:lang w:eastAsia="en-GB"/>
        </w:rPr>
        <w:t>B</w:t>
      </w:r>
      <w:r w:rsidRPr="006622D9">
        <w:rPr>
          <w:rFonts w:cs="Arial"/>
          <w:sz w:val="20"/>
          <w:lang w:eastAsia="en-GB"/>
        </w:rPr>
        <w:t>orrowing</w:t>
      </w:r>
    </w:p>
    <w:p w14:paraId="13BE55D4" w14:textId="71E36B2B" w:rsidR="00793504" w:rsidRDefault="004A48CC" w:rsidP="00BD1B30">
      <w:pPr>
        <w:tabs>
          <w:tab w:val="num" w:pos="709"/>
        </w:tabs>
        <w:jc w:val="both"/>
        <w:rPr>
          <w:rFonts w:cs="Arial"/>
          <w:bCs/>
          <w:szCs w:val="24"/>
        </w:rPr>
      </w:pPr>
      <w:r w:rsidRPr="004A48CC">
        <w:rPr>
          <w:noProof/>
        </w:rPr>
        <w:drawing>
          <wp:inline distT="0" distB="0" distL="0" distR="0" wp14:anchorId="77D20B2B" wp14:editId="5FED3B62">
            <wp:extent cx="5276215" cy="1252855"/>
            <wp:effectExtent l="0" t="0" r="63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76215" cy="1252855"/>
                    </a:xfrm>
                    <a:prstGeom prst="rect">
                      <a:avLst/>
                    </a:prstGeom>
                    <a:noFill/>
                    <a:ln>
                      <a:noFill/>
                    </a:ln>
                  </pic:spPr>
                </pic:pic>
              </a:graphicData>
            </a:graphic>
          </wp:inline>
        </w:drawing>
      </w:r>
    </w:p>
    <w:p w14:paraId="461B575F" w14:textId="21F3A6CA" w:rsidR="00AA093B" w:rsidRDefault="00AA093B" w:rsidP="00BD1B30">
      <w:pPr>
        <w:tabs>
          <w:tab w:val="num" w:pos="709"/>
        </w:tabs>
        <w:jc w:val="both"/>
        <w:rPr>
          <w:rFonts w:cs="Arial"/>
          <w:bCs/>
          <w:szCs w:val="24"/>
        </w:rPr>
      </w:pPr>
    </w:p>
    <w:p w14:paraId="006E9F17" w14:textId="77777777" w:rsidR="00BF3EA2" w:rsidRDefault="00AA093B" w:rsidP="00AA093B">
      <w:pPr>
        <w:pStyle w:val="ListParagraph"/>
        <w:tabs>
          <w:tab w:val="left" w:pos="0"/>
        </w:tabs>
        <w:ind w:left="0"/>
        <w:jc w:val="both"/>
        <w:rPr>
          <w:rFonts w:cs="Arial"/>
          <w:sz w:val="20"/>
          <w:lang w:eastAsia="en-GB"/>
        </w:rPr>
      </w:pPr>
      <w:r>
        <w:rPr>
          <w:rFonts w:cs="Arial"/>
          <w:sz w:val="20"/>
          <w:lang w:eastAsia="en-GB"/>
        </w:rPr>
        <w:t>Graph 2: Maturity Profile of Borrowing Portfolio</w:t>
      </w:r>
    </w:p>
    <w:p w14:paraId="36BBFEDD" w14:textId="19C3AD7A" w:rsidR="00AA093B" w:rsidRDefault="00BF3EA2" w:rsidP="00AA093B">
      <w:pPr>
        <w:pStyle w:val="ListParagraph"/>
        <w:tabs>
          <w:tab w:val="left" w:pos="0"/>
        </w:tabs>
        <w:ind w:left="0"/>
        <w:jc w:val="both"/>
        <w:rPr>
          <w:rFonts w:cs="Arial"/>
          <w:sz w:val="20"/>
          <w:lang w:eastAsia="en-GB"/>
        </w:rPr>
      </w:pPr>
      <w:r>
        <w:rPr>
          <w:rFonts w:cs="Arial"/>
          <w:sz w:val="20"/>
          <w:lang w:eastAsia="en-GB"/>
        </w:rPr>
        <w:t xml:space="preserve">Earliest Repayment Date </w:t>
      </w:r>
      <w:r>
        <w:rPr>
          <w:rFonts w:cs="Arial"/>
          <w:sz w:val="20"/>
          <w:lang w:eastAsia="en-GB"/>
        </w:rPr>
        <w:tab/>
      </w:r>
      <w:r>
        <w:rPr>
          <w:rFonts w:cs="Arial"/>
          <w:sz w:val="20"/>
          <w:lang w:eastAsia="en-GB"/>
        </w:rPr>
        <w:tab/>
        <w:t xml:space="preserve">         Latest Repayment Date</w:t>
      </w:r>
    </w:p>
    <w:p w14:paraId="4BAC4BCD" w14:textId="36839E13" w:rsidR="00BF3EA2" w:rsidRDefault="00BF3EA2" w:rsidP="00C87D53">
      <w:pPr>
        <w:tabs>
          <w:tab w:val="left" w:pos="0"/>
        </w:tabs>
        <w:jc w:val="both"/>
        <w:rPr>
          <w:rFonts w:cs="Arial"/>
          <w:sz w:val="18"/>
          <w:szCs w:val="18"/>
          <w:lang w:eastAsia="en-GB"/>
        </w:rPr>
      </w:pPr>
      <w:r w:rsidRPr="00BF3EA2">
        <w:rPr>
          <w:noProof/>
        </w:rPr>
        <w:drawing>
          <wp:inline distT="0" distB="0" distL="0" distR="0" wp14:anchorId="2639D6B9" wp14:editId="73C8C327">
            <wp:extent cx="2539287" cy="1643380"/>
            <wp:effectExtent l="19050" t="19050" r="13970" b="1397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t="7174"/>
                    <a:stretch/>
                  </pic:blipFill>
                  <pic:spPr bwMode="auto">
                    <a:xfrm>
                      <a:off x="0" y="0"/>
                      <a:ext cx="2544466" cy="1646732"/>
                    </a:xfrm>
                    <a:prstGeom prst="rect">
                      <a:avLst/>
                    </a:prstGeom>
                    <a:noFill/>
                    <a:ln>
                      <a:solidFill>
                        <a:sysClr val="windowText" lastClr="000000"/>
                      </a:solidFill>
                    </a:ln>
                    <a:extLst>
                      <a:ext uri="{53640926-AAD7-44D8-BBD7-CCE9431645EC}">
                        <a14:shadowObscured xmlns:a14="http://schemas.microsoft.com/office/drawing/2010/main"/>
                      </a:ext>
                    </a:extLst>
                  </pic:spPr>
                </pic:pic>
              </a:graphicData>
            </a:graphic>
          </wp:inline>
        </w:drawing>
      </w:r>
      <w:r w:rsidRPr="00BF3EA2">
        <w:rPr>
          <w:noProof/>
        </w:rPr>
        <w:drawing>
          <wp:inline distT="0" distB="0" distL="0" distR="0" wp14:anchorId="5728DF62" wp14:editId="4DE6445E">
            <wp:extent cx="2590800" cy="1641350"/>
            <wp:effectExtent l="19050" t="19050" r="19050" b="1651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t="5562"/>
                    <a:stretch/>
                  </pic:blipFill>
                  <pic:spPr bwMode="auto">
                    <a:xfrm>
                      <a:off x="0" y="0"/>
                      <a:ext cx="2605369" cy="1650580"/>
                    </a:xfrm>
                    <a:prstGeom prst="rect">
                      <a:avLst/>
                    </a:prstGeom>
                    <a:noFill/>
                    <a:ln>
                      <a:solidFill>
                        <a:sysClr val="windowText" lastClr="000000"/>
                      </a:solidFill>
                    </a:ln>
                    <a:extLst>
                      <a:ext uri="{53640926-AAD7-44D8-BBD7-CCE9431645EC}">
                        <a14:shadowObscured xmlns:a14="http://schemas.microsoft.com/office/drawing/2010/main"/>
                      </a:ext>
                    </a:extLst>
                  </pic:spPr>
                </pic:pic>
              </a:graphicData>
            </a:graphic>
          </wp:inline>
        </w:drawing>
      </w:r>
    </w:p>
    <w:p w14:paraId="0752584E" w14:textId="77777777" w:rsidR="00BF3EA2" w:rsidRPr="001249C1" w:rsidRDefault="00BF3EA2" w:rsidP="00C87D53">
      <w:pPr>
        <w:tabs>
          <w:tab w:val="left" w:pos="0"/>
        </w:tabs>
        <w:jc w:val="both"/>
        <w:rPr>
          <w:rFonts w:cs="Arial"/>
          <w:sz w:val="18"/>
          <w:szCs w:val="18"/>
          <w:lang w:eastAsia="en-GB"/>
        </w:rPr>
      </w:pPr>
    </w:p>
    <w:p w14:paraId="7CD384EF" w14:textId="203D3262" w:rsidR="000A0070" w:rsidRPr="00065B62" w:rsidRDefault="005858F4" w:rsidP="0099334D">
      <w:pPr>
        <w:pStyle w:val="ListParagraph"/>
        <w:numPr>
          <w:ilvl w:val="0"/>
          <w:numId w:val="14"/>
        </w:numPr>
        <w:ind w:left="0" w:hanging="720"/>
        <w:rPr>
          <w:rFonts w:cs="Arial"/>
          <w:szCs w:val="24"/>
          <w:lang w:eastAsia="en-GB"/>
        </w:rPr>
      </w:pPr>
      <w:r w:rsidRPr="00BD1B30">
        <w:rPr>
          <w:rFonts w:cs="Arial"/>
          <w:bCs/>
          <w:szCs w:val="24"/>
        </w:rPr>
        <w:t xml:space="preserve">The Council’s forward projections for borrowing are summarised below. The table shows the actual external debt, against the underlying capital borrowing need, (the Capital Financing Requirement </w:t>
      </w:r>
      <w:r w:rsidR="004A7FEC">
        <w:rPr>
          <w:rFonts w:cs="Arial"/>
          <w:bCs/>
          <w:szCs w:val="24"/>
        </w:rPr>
        <w:t>or</w:t>
      </w:r>
      <w:r w:rsidRPr="00BD1B30">
        <w:rPr>
          <w:rFonts w:cs="Arial"/>
          <w:bCs/>
          <w:szCs w:val="24"/>
        </w:rPr>
        <w:t xml:space="preserve"> CFR), highlighting any over or under borrowing.  </w:t>
      </w:r>
      <w:r w:rsidRPr="00CB090A">
        <w:rPr>
          <w:rFonts w:cs="Arial"/>
          <w:bCs/>
          <w:szCs w:val="24"/>
        </w:rPr>
        <w:t xml:space="preserve">The expected change in borrowing has been calculated </w:t>
      </w:r>
      <w:r w:rsidR="00302DCA" w:rsidRPr="00CB090A">
        <w:rPr>
          <w:rFonts w:cs="Arial"/>
          <w:bCs/>
          <w:szCs w:val="24"/>
        </w:rPr>
        <w:t>with reference to the Liability Benchmark in para</w:t>
      </w:r>
      <w:r w:rsidR="00086F0C" w:rsidRPr="00CB090A">
        <w:rPr>
          <w:rFonts w:cs="Arial"/>
          <w:bCs/>
          <w:szCs w:val="24"/>
        </w:rPr>
        <w:t xml:space="preserve">graphs </w:t>
      </w:r>
      <w:r w:rsidR="00793504">
        <w:rPr>
          <w:rFonts w:cs="Arial"/>
          <w:bCs/>
          <w:szCs w:val="24"/>
        </w:rPr>
        <w:t>2.</w:t>
      </w:r>
      <w:r w:rsidR="00FD35F8">
        <w:rPr>
          <w:rFonts w:cs="Arial"/>
          <w:bCs/>
          <w:szCs w:val="24"/>
        </w:rPr>
        <w:t>10</w:t>
      </w:r>
      <w:r w:rsidR="00793504">
        <w:rPr>
          <w:rFonts w:cs="Arial"/>
          <w:bCs/>
          <w:szCs w:val="24"/>
        </w:rPr>
        <w:t>-2.1</w:t>
      </w:r>
      <w:r w:rsidR="00FD35F8">
        <w:rPr>
          <w:rFonts w:cs="Arial"/>
          <w:bCs/>
          <w:szCs w:val="24"/>
        </w:rPr>
        <w:t>9</w:t>
      </w:r>
      <w:r w:rsidR="00086F0C" w:rsidRPr="00CB090A">
        <w:rPr>
          <w:rFonts w:cs="Arial"/>
          <w:bCs/>
          <w:szCs w:val="24"/>
        </w:rPr>
        <w:t>.  This assumes internal borrowing is utilised to a point at which the Authority maintains £30m of treasury investments</w:t>
      </w:r>
      <w:r w:rsidR="00086F0C" w:rsidRPr="00FD35F8">
        <w:rPr>
          <w:rFonts w:cs="Arial"/>
          <w:bCs/>
          <w:szCs w:val="24"/>
        </w:rPr>
        <w:t>.</w:t>
      </w:r>
      <w:r w:rsidR="004A7FEC" w:rsidRPr="00FD35F8">
        <w:rPr>
          <w:rFonts w:cs="Arial"/>
          <w:bCs/>
          <w:szCs w:val="24"/>
        </w:rPr>
        <w:t xml:space="preserve">  The figures for 2023/24 are based on revised budget figures and therefore may not reflect the latest position in respect of slippage within the capital programme.      </w:t>
      </w:r>
      <w:r w:rsidR="00065B62">
        <w:rPr>
          <w:rFonts w:cs="Arial"/>
          <w:bCs/>
          <w:szCs w:val="24"/>
        </w:rPr>
        <w:t xml:space="preserve">  </w:t>
      </w:r>
    </w:p>
    <w:p w14:paraId="21EE6B94" w14:textId="77777777" w:rsidR="00065B62" w:rsidRDefault="00065B62" w:rsidP="00065B62">
      <w:pPr>
        <w:pStyle w:val="ListParagraph"/>
        <w:ind w:left="0"/>
        <w:jc w:val="both"/>
        <w:rPr>
          <w:rFonts w:cs="Arial"/>
          <w:szCs w:val="24"/>
          <w:lang w:eastAsia="en-GB"/>
        </w:rPr>
      </w:pPr>
    </w:p>
    <w:p w14:paraId="50DF4AD7" w14:textId="23C5E612" w:rsidR="000A0070" w:rsidRDefault="006622D9" w:rsidP="00C87D53">
      <w:pPr>
        <w:tabs>
          <w:tab w:val="left" w:pos="0"/>
        </w:tabs>
        <w:jc w:val="both"/>
        <w:rPr>
          <w:rFonts w:cs="Arial"/>
          <w:sz w:val="20"/>
          <w:lang w:eastAsia="en-GB"/>
        </w:rPr>
      </w:pPr>
      <w:r w:rsidRPr="000A0070">
        <w:rPr>
          <w:rFonts w:cs="Arial"/>
          <w:sz w:val="20"/>
          <w:lang w:eastAsia="en-GB"/>
        </w:rPr>
        <w:t>Table 7: Gross Debt v Capital Financing Requirement</w:t>
      </w:r>
      <w:r w:rsidR="00793504">
        <w:rPr>
          <w:rFonts w:cs="Arial"/>
          <w:sz w:val="20"/>
          <w:lang w:eastAsia="en-GB"/>
        </w:rPr>
        <w:t xml:space="preserve"> </w:t>
      </w:r>
    </w:p>
    <w:p w14:paraId="12BDA555" w14:textId="7707060A" w:rsidR="00C87D53" w:rsidRDefault="004A7FEC" w:rsidP="00C87D53">
      <w:pPr>
        <w:tabs>
          <w:tab w:val="left" w:pos="0"/>
        </w:tabs>
        <w:jc w:val="both"/>
        <w:rPr>
          <w:rFonts w:cs="Arial"/>
          <w:sz w:val="20"/>
          <w:lang w:eastAsia="en-GB"/>
        </w:rPr>
      </w:pPr>
      <w:r w:rsidRPr="004A7FEC">
        <w:rPr>
          <w:noProof/>
        </w:rPr>
        <w:drawing>
          <wp:inline distT="0" distB="0" distL="0" distR="0" wp14:anchorId="3FBBD4C8" wp14:editId="11BA91BB">
            <wp:extent cx="5276215" cy="1545590"/>
            <wp:effectExtent l="0" t="0" r="63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76215" cy="1545590"/>
                    </a:xfrm>
                    <a:prstGeom prst="rect">
                      <a:avLst/>
                    </a:prstGeom>
                    <a:noFill/>
                    <a:ln>
                      <a:noFill/>
                    </a:ln>
                  </pic:spPr>
                </pic:pic>
              </a:graphicData>
            </a:graphic>
          </wp:inline>
        </w:drawing>
      </w:r>
    </w:p>
    <w:p w14:paraId="124D4817" w14:textId="39D35D1E" w:rsidR="00C87D53" w:rsidRDefault="00C87D53" w:rsidP="00C87D53">
      <w:pPr>
        <w:tabs>
          <w:tab w:val="left" w:pos="0"/>
        </w:tabs>
        <w:jc w:val="both"/>
        <w:rPr>
          <w:rFonts w:cs="Arial"/>
          <w:sz w:val="20"/>
          <w:lang w:eastAsia="en-GB"/>
        </w:rPr>
      </w:pPr>
    </w:p>
    <w:p w14:paraId="4B39F2A1" w14:textId="267CCBA7" w:rsidR="005858F4" w:rsidRPr="00820F85" w:rsidRDefault="005858F4" w:rsidP="0099334D">
      <w:pPr>
        <w:pStyle w:val="ListParagraph"/>
        <w:numPr>
          <w:ilvl w:val="0"/>
          <w:numId w:val="14"/>
        </w:numPr>
        <w:ind w:left="0" w:hanging="720"/>
        <w:rPr>
          <w:rFonts w:cs="Arial"/>
          <w:bCs/>
          <w:szCs w:val="24"/>
        </w:rPr>
      </w:pPr>
      <w:r w:rsidRPr="00820F85">
        <w:rPr>
          <w:rFonts w:cs="Arial"/>
          <w:bCs/>
          <w:szCs w:val="24"/>
        </w:rPr>
        <w:t xml:space="preserve">Within the range of </w:t>
      </w:r>
      <w:r w:rsidR="00086F0C" w:rsidRPr="00820F85">
        <w:rPr>
          <w:rFonts w:cs="Arial"/>
          <w:bCs/>
          <w:szCs w:val="24"/>
        </w:rPr>
        <w:t>P</w:t>
      </w:r>
      <w:r w:rsidRPr="00820F85">
        <w:rPr>
          <w:rFonts w:cs="Arial"/>
          <w:bCs/>
          <w:szCs w:val="24"/>
        </w:rPr>
        <w:t xml:space="preserve">rudential </w:t>
      </w:r>
      <w:r w:rsidR="00086F0C" w:rsidRPr="00820F85">
        <w:rPr>
          <w:rFonts w:cs="Arial"/>
          <w:bCs/>
          <w:szCs w:val="24"/>
        </w:rPr>
        <w:t>I</w:t>
      </w:r>
      <w:r w:rsidRPr="00820F85">
        <w:rPr>
          <w:rFonts w:cs="Arial"/>
          <w:bCs/>
          <w:szCs w:val="24"/>
        </w:rPr>
        <w:t xml:space="preserve">ndicators there are </w:t>
      </w:r>
      <w:proofErr w:type="gramStart"/>
      <w:r w:rsidRPr="00820F85">
        <w:rPr>
          <w:rFonts w:cs="Arial"/>
          <w:bCs/>
          <w:szCs w:val="24"/>
        </w:rPr>
        <w:t>a number of</w:t>
      </w:r>
      <w:proofErr w:type="gramEnd"/>
      <w:r w:rsidRPr="00820F85">
        <w:rPr>
          <w:rFonts w:cs="Arial"/>
          <w:bCs/>
          <w:szCs w:val="24"/>
        </w:rPr>
        <w:t xml:space="preserve"> key indicators to ensure that the Council operates its activities within well-defined limits.  One of these is that the Council needs to ensure that its gross debt does not, except in the short term, exceed the total of the CFR in the preceding year plus </w:t>
      </w:r>
      <w:r w:rsidR="00086F0C" w:rsidRPr="00820F85">
        <w:rPr>
          <w:rFonts w:cs="Arial"/>
          <w:bCs/>
          <w:szCs w:val="24"/>
        </w:rPr>
        <w:t>future estimates of the</w:t>
      </w:r>
      <w:r w:rsidRPr="00820F85">
        <w:rPr>
          <w:rFonts w:cs="Arial"/>
          <w:bCs/>
          <w:szCs w:val="24"/>
        </w:rPr>
        <w:t xml:space="preserve"> CFR for </w:t>
      </w:r>
      <w:r w:rsidR="00086F0C" w:rsidRPr="00820F85">
        <w:rPr>
          <w:rFonts w:cs="Arial"/>
          <w:bCs/>
          <w:szCs w:val="24"/>
        </w:rPr>
        <w:t>202</w:t>
      </w:r>
      <w:r w:rsidR="00065B62">
        <w:rPr>
          <w:rFonts w:cs="Arial"/>
          <w:bCs/>
          <w:szCs w:val="24"/>
        </w:rPr>
        <w:t>3</w:t>
      </w:r>
      <w:r w:rsidR="00086F0C" w:rsidRPr="00820F85">
        <w:rPr>
          <w:rFonts w:cs="Arial"/>
          <w:bCs/>
          <w:szCs w:val="24"/>
        </w:rPr>
        <w:t>/2</w:t>
      </w:r>
      <w:r w:rsidR="00065B62">
        <w:rPr>
          <w:rFonts w:cs="Arial"/>
          <w:bCs/>
          <w:szCs w:val="24"/>
        </w:rPr>
        <w:t>4</w:t>
      </w:r>
      <w:r w:rsidRPr="00820F85">
        <w:rPr>
          <w:rFonts w:cs="Arial"/>
          <w:bCs/>
          <w:szCs w:val="24"/>
        </w:rPr>
        <w:t xml:space="preserve"> and the following two financial years.  This allows some flexibility for limited early borrowing </w:t>
      </w:r>
      <w:r w:rsidR="00086F0C" w:rsidRPr="00820F85">
        <w:rPr>
          <w:rFonts w:cs="Arial"/>
          <w:bCs/>
          <w:szCs w:val="24"/>
        </w:rPr>
        <w:t>in advance of need for approved expenditure</w:t>
      </w:r>
      <w:r w:rsidRPr="00820F85">
        <w:rPr>
          <w:rFonts w:cs="Arial"/>
          <w:bCs/>
          <w:szCs w:val="24"/>
        </w:rPr>
        <w:t xml:space="preserve"> but ensures that borrowing is not undertaken for revenue or speculative purposes.</w:t>
      </w:r>
    </w:p>
    <w:p w14:paraId="091DD98B" w14:textId="35A8F4F7" w:rsidR="005858F4" w:rsidRPr="00820F85" w:rsidRDefault="005858F4" w:rsidP="0099334D">
      <w:pPr>
        <w:pStyle w:val="ListParagraph"/>
        <w:ind w:left="0"/>
        <w:rPr>
          <w:rFonts w:cs="Arial"/>
          <w:bCs/>
          <w:szCs w:val="24"/>
        </w:rPr>
      </w:pPr>
      <w:r w:rsidRPr="00820F85">
        <w:rPr>
          <w:rFonts w:cs="Arial"/>
          <w:bCs/>
          <w:szCs w:val="24"/>
        </w:rPr>
        <w:t xml:space="preserve">  </w:t>
      </w:r>
    </w:p>
    <w:p w14:paraId="0A61BEDF" w14:textId="3BB8E5E3" w:rsidR="005858F4" w:rsidRPr="00820F85" w:rsidRDefault="005858F4" w:rsidP="0099334D">
      <w:pPr>
        <w:pStyle w:val="ListParagraph"/>
        <w:numPr>
          <w:ilvl w:val="0"/>
          <w:numId w:val="14"/>
        </w:numPr>
        <w:ind w:left="0" w:hanging="720"/>
        <w:rPr>
          <w:rFonts w:cs="Arial"/>
          <w:bCs/>
          <w:szCs w:val="24"/>
        </w:rPr>
      </w:pPr>
      <w:r w:rsidRPr="00820F85">
        <w:rPr>
          <w:rFonts w:cs="Arial"/>
          <w:bCs/>
          <w:szCs w:val="24"/>
        </w:rPr>
        <w:t xml:space="preserve">The Director of Finance reports that the Council complied with this </w:t>
      </w:r>
      <w:r w:rsidR="00086F0C" w:rsidRPr="00820F85">
        <w:rPr>
          <w:rFonts w:cs="Arial"/>
          <w:bCs/>
          <w:szCs w:val="24"/>
        </w:rPr>
        <w:t>P</w:t>
      </w:r>
      <w:r w:rsidRPr="00820F85">
        <w:rPr>
          <w:rFonts w:cs="Arial"/>
          <w:bCs/>
          <w:szCs w:val="24"/>
        </w:rPr>
        <w:t xml:space="preserve">rudential </w:t>
      </w:r>
      <w:r w:rsidR="00086F0C" w:rsidRPr="00820F85">
        <w:rPr>
          <w:rFonts w:cs="Arial"/>
          <w:bCs/>
          <w:szCs w:val="24"/>
        </w:rPr>
        <w:t>I</w:t>
      </w:r>
      <w:r w:rsidRPr="00820F85">
        <w:rPr>
          <w:rFonts w:cs="Arial"/>
          <w:bCs/>
          <w:szCs w:val="24"/>
        </w:rPr>
        <w:t xml:space="preserve">ndicator in the current year and does not envisage difficulties for the future.  This view </w:t>
      </w:r>
      <w:r w:rsidR="001D3CA8" w:rsidRPr="00820F85">
        <w:rPr>
          <w:rFonts w:cs="Arial"/>
          <w:bCs/>
          <w:szCs w:val="24"/>
        </w:rPr>
        <w:t>considers</w:t>
      </w:r>
      <w:r w:rsidRPr="00820F85">
        <w:rPr>
          <w:rFonts w:cs="Arial"/>
          <w:bCs/>
          <w:szCs w:val="24"/>
        </w:rPr>
        <w:t xml:space="preserve"> current commitments, existing plans, and the proposals in this budget report. </w:t>
      </w:r>
    </w:p>
    <w:p w14:paraId="381C7E06" w14:textId="77777777" w:rsidR="005858F4" w:rsidRPr="00820F85" w:rsidRDefault="005858F4" w:rsidP="0099334D">
      <w:pPr>
        <w:pStyle w:val="ListParagraph"/>
        <w:ind w:left="0"/>
        <w:rPr>
          <w:rFonts w:cs="Arial"/>
          <w:bCs/>
          <w:szCs w:val="24"/>
        </w:rPr>
      </w:pPr>
    </w:p>
    <w:p w14:paraId="62E43079" w14:textId="19AFAE0D" w:rsidR="005858F4" w:rsidRDefault="005858F4" w:rsidP="0099334D">
      <w:pPr>
        <w:pStyle w:val="ListParagraph"/>
        <w:numPr>
          <w:ilvl w:val="0"/>
          <w:numId w:val="14"/>
        </w:numPr>
        <w:ind w:left="0" w:hanging="720"/>
        <w:rPr>
          <w:rFonts w:cs="Arial"/>
          <w:bCs/>
          <w:szCs w:val="24"/>
        </w:rPr>
      </w:pPr>
      <w:r w:rsidRPr="00820F85">
        <w:rPr>
          <w:rFonts w:cs="Arial"/>
          <w:bCs/>
          <w:szCs w:val="24"/>
        </w:rPr>
        <w:t xml:space="preserve">The Prudential Code framework is a </w:t>
      </w:r>
      <w:proofErr w:type="gramStart"/>
      <w:r w:rsidRPr="00820F85">
        <w:rPr>
          <w:rFonts w:cs="Arial"/>
          <w:bCs/>
          <w:szCs w:val="24"/>
        </w:rPr>
        <w:t>principles based</w:t>
      </w:r>
      <w:proofErr w:type="gramEnd"/>
      <w:r w:rsidRPr="00820F85">
        <w:rPr>
          <w:rFonts w:cs="Arial"/>
          <w:bCs/>
          <w:szCs w:val="24"/>
        </w:rPr>
        <w:t xml:space="preserve"> system whereby the Council should demonstrate</w:t>
      </w:r>
      <w:r w:rsidR="00065B62">
        <w:rPr>
          <w:rFonts w:cs="Arial"/>
          <w:bCs/>
          <w:szCs w:val="24"/>
        </w:rPr>
        <w:t xml:space="preserve"> through a series of Prudential Indicators</w:t>
      </w:r>
      <w:r w:rsidRPr="00820F85">
        <w:rPr>
          <w:rFonts w:cs="Arial"/>
          <w:bCs/>
          <w:szCs w:val="24"/>
        </w:rPr>
        <w:t xml:space="preserve"> that its capital plans are prudent, affordable and sustainable.  One of the Prudential Indicators of affordability is the ratio of financing costs to net revenue stream, assessing the actual and estimated cost of capital against the income of the Authority.  Table 8 provides the expected trends based on the forthcoming capital programme, for both the General Fund and HRA.</w:t>
      </w:r>
      <w:r w:rsidR="00BE3022" w:rsidRPr="00820F85">
        <w:rPr>
          <w:rFonts w:cs="Arial"/>
          <w:bCs/>
          <w:szCs w:val="24"/>
        </w:rPr>
        <w:t xml:space="preserve"> </w:t>
      </w:r>
    </w:p>
    <w:p w14:paraId="55374A06" w14:textId="77777777" w:rsidR="00065B62" w:rsidRPr="00065B62" w:rsidRDefault="00065B62" w:rsidP="00065B62">
      <w:pPr>
        <w:pStyle w:val="ListParagraph"/>
        <w:rPr>
          <w:rFonts w:cs="Arial"/>
          <w:bCs/>
          <w:szCs w:val="24"/>
        </w:rPr>
      </w:pPr>
    </w:p>
    <w:p w14:paraId="7F48A939" w14:textId="1DE52BF8" w:rsidR="00086F0C" w:rsidRDefault="0075726E" w:rsidP="00C87D53">
      <w:pPr>
        <w:rPr>
          <w:rFonts w:cs="Arial"/>
          <w:sz w:val="20"/>
          <w:lang w:eastAsia="en-GB"/>
        </w:rPr>
      </w:pPr>
      <w:r w:rsidRPr="0075726E">
        <w:rPr>
          <w:rFonts w:cs="Arial"/>
          <w:sz w:val="20"/>
          <w:lang w:eastAsia="en-GB"/>
        </w:rPr>
        <w:t>Table 8: Ratio of Financing Costs to Net Revenue Stream</w:t>
      </w:r>
      <w:bookmarkStart w:id="6" w:name="_Toc60749550"/>
    </w:p>
    <w:p w14:paraId="7BD498AA" w14:textId="6D877F73" w:rsidR="00C87D53" w:rsidRDefault="00DF51CA" w:rsidP="00C87D53">
      <w:pPr>
        <w:rPr>
          <w:rFonts w:cs="Arial"/>
          <w:sz w:val="20"/>
          <w:lang w:eastAsia="en-GB"/>
        </w:rPr>
      </w:pPr>
      <w:r w:rsidRPr="00DF51CA">
        <w:rPr>
          <w:noProof/>
        </w:rPr>
        <w:drawing>
          <wp:inline distT="0" distB="0" distL="0" distR="0" wp14:anchorId="6C462FF1" wp14:editId="24D33DDC">
            <wp:extent cx="5276215" cy="822960"/>
            <wp:effectExtent l="0" t="0" r="63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76215" cy="822960"/>
                    </a:xfrm>
                    <a:prstGeom prst="rect">
                      <a:avLst/>
                    </a:prstGeom>
                    <a:noFill/>
                    <a:ln>
                      <a:noFill/>
                    </a:ln>
                  </pic:spPr>
                </pic:pic>
              </a:graphicData>
            </a:graphic>
          </wp:inline>
        </w:drawing>
      </w:r>
    </w:p>
    <w:p w14:paraId="374BAD9E" w14:textId="4CDE7CCC" w:rsidR="00C87D53" w:rsidRPr="00820F85" w:rsidRDefault="00065B62" w:rsidP="00C87D53">
      <w:pPr>
        <w:rPr>
          <w:rFonts w:cs="Arial"/>
          <w:bCs/>
          <w:szCs w:val="24"/>
        </w:rPr>
      </w:pPr>
      <w:r>
        <w:rPr>
          <w:rFonts w:cs="Arial"/>
          <w:bCs/>
          <w:szCs w:val="24"/>
        </w:rPr>
        <w:tab/>
      </w:r>
    </w:p>
    <w:p w14:paraId="1CF52248" w14:textId="23B8B3D9" w:rsidR="00086F0C" w:rsidRPr="00CB090A" w:rsidRDefault="004544D0" w:rsidP="0099334D">
      <w:pPr>
        <w:pStyle w:val="ListParagraph"/>
        <w:numPr>
          <w:ilvl w:val="0"/>
          <w:numId w:val="14"/>
        </w:numPr>
        <w:ind w:left="0" w:hanging="720"/>
        <w:rPr>
          <w:rFonts w:cs="Arial"/>
          <w:bCs/>
          <w:szCs w:val="24"/>
        </w:rPr>
      </w:pPr>
      <w:r w:rsidRPr="00CB090A">
        <w:rPr>
          <w:rFonts w:cs="Arial"/>
          <w:bCs/>
          <w:szCs w:val="24"/>
        </w:rPr>
        <w:t>The revised CIPFA Prudential Code and Treasury Management Code of Practice defined an Authority’s investments as either treasury or non-treasury, with the non-treasury investments further categorised between s</w:t>
      </w:r>
      <w:r w:rsidR="00086F0C" w:rsidRPr="00CB090A">
        <w:rPr>
          <w:rFonts w:cs="Arial"/>
          <w:bCs/>
          <w:szCs w:val="24"/>
        </w:rPr>
        <w:t xml:space="preserve">ervice and </w:t>
      </w:r>
      <w:r w:rsidRPr="00CB090A">
        <w:rPr>
          <w:rFonts w:cs="Arial"/>
          <w:bCs/>
          <w:szCs w:val="24"/>
        </w:rPr>
        <w:t>c</w:t>
      </w:r>
      <w:r w:rsidR="00086F0C" w:rsidRPr="00CB090A">
        <w:rPr>
          <w:rFonts w:cs="Arial"/>
          <w:bCs/>
          <w:szCs w:val="24"/>
        </w:rPr>
        <w:t xml:space="preserve">ommercial </w:t>
      </w:r>
      <w:r w:rsidRPr="00CB090A">
        <w:rPr>
          <w:rFonts w:cs="Arial"/>
          <w:bCs/>
          <w:szCs w:val="24"/>
        </w:rPr>
        <w:t>i</w:t>
      </w:r>
      <w:r w:rsidR="00086F0C" w:rsidRPr="00CB090A">
        <w:rPr>
          <w:rFonts w:cs="Arial"/>
          <w:bCs/>
          <w:szCs w:val="24"/>
        </w:rPr>
        <w:t>nvestment</w:t>
      </w:r>
      <w:r w:rsidRPr="00CB090A">
        <w:rPr>
          <w:rFonts w:cs="Arial"/>
          <w:bCs/>
          <w:szCs w:val="24"/>
        </w:rPr>
        <w:t>.  A new Prudential Indicator was also introduced intending to demonstrate that the risks associated with investments for service and commercial purposes are proportionate to the financial capacity of the Authority.  The ratio of net income from commercial and service investments to net revenue stream illustrates the reliance of the Authority on income derived from such investments.</w:t>
      </w:r>
    </w:p>
    <w:p w14:paraId="4C68D324" w14:textId="0ECDA784" w:rsidR="004544D0" w:rsidRDefault="004544D0" w:rsidP="004544D0">
      <w:pPr>
        <w:tabs>
          <w:tab w:val="left" w:pos="0"/>
        </w:tabs>
        <w:jc w:val="both"/>
        <w:rPr>
          <w:rFonts w:cs="Arial"/>
          <w:szCs w:val="24"/>
          <w:lang w:eastAsia="en-GB"/>
        </w:rPr>
      </w:pPr>
    </w:p>
    <w:p w14:paraId="2169344A" w14:textId="5946F025" w:rsidR="00086F0C" w:rsidRDefault="004544D0" w:rsidP="00C87D53">
      <w:pPr>
        <w:rPr>
          <w:rFonts w:cs="Arial"/>
          <w:sz w:val="20"/>
          <w:lang w:eastAsia="en-GB"/>
        </w:rPr>
      </w:pPr>
      <w:r w:rsidRPr="0075726E">
        <w:rPr>
          <w:rFonts w:cs="Arial"/>
          <w:sz w:val="20"/>
          <w:lang w:eastAsia="en-GB"/>
        </w:rPr>
        <w:t xml:space="preserve">Table </w:t>
      </w:r>
      <w:r w:rsidR="00E06CEF">
        <w:rPr>
          <w:rFonts w:cs="Arial"/>
          <w:sz w:val="20"/>
          <w:lang w:eastAsia="en-GB"/>
        </w:rPr>
        <w:t>9</w:t>
      </w:r>
      <w:r w:rsidRPr="0075726E">
        <w:rPr>
          <w:rFonts w:cs="Arial"/>
          <w:sz w:val="20"/>
          <w:lang w:eastAsia="en-GB"/>
        </w:rPr>
        <w:t xml:space="preserve">: </w:t>
      </w:r>
      <w:r w:rsidR="00DF51CA">
        <w:rPr>
          <w:rFonts w:cs="Arial"/>
          <w:sz w:val="20"/>
          <w:lang w:eastAsia="en-GB"/>
        </w:rPr>
        <w:t>Net i</w:t>
      </w:r>
      <w:r w:rsidR="0031518E">
        <w:rPr>
          <w:rFonts w:cs="Arial"/>
          <w:sz w:val="20"/>
          <w:lang w:eastAsia="en-GB"/>
        </w:rPr>
        <w:t>ncome from Service and Commercial investments</w:t>
      </w:r>
      <w:r w:rsidRPr="0075726E">
        <w:rPr>
          <w:rFonts w:cs="Arial"/>
          <w:sz w:val="20"/>
          <w:lang w:eastAsia="en-GB"/>
        </w:rPr>
        <w:t xml:space="preserve"> to Net Revenue Stream</w:t>
      </w:r>
    </w:p>
    <w:p w14:paraId="6BDFABAB" w14:textId="0F3B117B" w:rsidR="00C87D53" w:rsidRDefault="00DF51CA" w:rsidP="00C87D53">
      <w:pPr>
        <w:rPr>
          <w:rFonts w:cs="Arial"/>
          <w:szCs w:val="24"/>
          <w:lang w:eastAsia="en-GB"/>
        </w:rPr>
      </w:pPr>
      <w:r w:rsidRPr="00DF51CA">
        <w:rPr>
          <w:noProof/>
        </w:rPr>
        <w:drawing>
          <wp:inline distT="0" distB="0" distL="0" distR="0" wp14:anchorId="38F89903" wp14:editId="63715E49">
            <wp:extent cx="5276215" cy="944245"/>
            <wp:effectExtent l="0" t="0" r="635" b="825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76215" cy="944245"/>
                    </a:xfrm>
                    <a:prstGeom prst="rect">
                      <a:avLst/>
                    </a:prstGeom>
                    <a:noFill/>
                    <a:ln>
                      <a:noFill/>
                    </a:ln>
                  </pic:spPr>
                </pic:pic>
              </a:graphicData>
            </a:graphic>
          </wp:inline>
        </w:drawing>
      </w:r>
    </w:p>
    <w:p w14:paraId="5B2FF613" w14:textId="77777777" w:rsidR="005E5702" w:rsidRDefault="005E5702" w:rsidP="00C87D53">
      <w:pPr>
        <w:rPr>
          <w:rFonts w:cs="Arial"/>
          <w:szCs w:val="24"/>
          <w:lang w:eastAsia="en-GB"/>
        </w:rPr>
      </w:pPr>
    </w:p>
    <w:p w14:paraId="11DCB239" w14:textId="033CF9A2" w:rsidR="005E5702" w:rsidRPr="00482F12" w:rsidRDefault="005E5702" w:rsidP="0099334D">
      <w:pPr>
        <w:pStyle w:val="ListParagraph"/>
        <w:numPr>
          <w:ilvl w:val="0"/>
          <w:numId w:val="14"/>
        </w:numPr>
        <w:ind w:left="0" w:hanging="720"/>
        <w:rPr>
          <w:rFonts w:cs="Arial"/>
          <w:bCs/>
          <w:szCs w:val="24"/>
        </w:rPr>
      </w:pPr>
      <w:r w:rsidRPr="00482F12">
        <w:rPr>
          <w:rFonts w:cs="Arial"/>
          <w:bCs/>
          <w:szCs w:val="24"/>
        </w:rPr>
        <w:t xml:space="preserve">The returns expected from the </w:t>
      </w:r>
      <w:r w:rsidRPr="00482F12">
        <w:rPr>
          <w:rFonts w:cs="Arial"/>
          <w:szCs w:val="24"/>
        </w:rPr>
        <w:t xml:space="preserve">Harrow Strategic Development Partnership investments in the Byron Quarter and Poets Corner will </w:t>
      </w:r>
      <w:r w:rsidR="00482F12">
        <w:rPr>
          <w:rFonts w:cs="Arial"/>
          <w:szCs w:val="24"/>
        </w:rPr>
        <w:t xml:space="preserve">not </w:t>
      </w:r>
      <w:r w:rsidRPr="00482F12">
        <w:rPr>
          <w:rFonts w:cs="Arial"/>
          <w:szCs w:val="24"/>
        </w:rPr>
        <w:t>impact on this indicator going forward</w:t>
      </w:r>
      <w:r w:rsidR="00482F12">
        <w:rPr>
          <w:rFonts w:cs="Arial"/>
          <w:szCs w:val="24"/>
        </w:rPr>
        <w:t xml:space="preserve"> as the financial return is one-off</w:t>
      </w:r>
      <w:r w:rsidRPr="00482F12">
        <w:rPr>
          <w:rFonts w:cs="Arial"/>
          <w:szCs w:val="24"/>
        </w:rPr>
        <w:t>.</w:t>
      </w:r>
      <w:r w:rsidR="001A0777" w:rsidRPr="00482F12">
        <w:rPr>
          <w:rFonts w:cs="Arial"/>
          <w:szCs w:val="24"/>
        </w:rPr>
        <w:t xml:space="preserve">  Any loans advanced to the Partnership will be classed as service investments, recognising the investment objectives and risk profiles will be different from treasury </w:t>
      </w:r>
      <w:r w:rsidR="001A0777" w:rsidRPr="00482F12">
        <w:rPr>
          <w:rFonts w:cs="Arial"/>
          <w:szCs w:val="24"/>
        </w:rPr>
        <w:lastRenderedPageBreak/>
        <w:t xml:space="preserve">investments </w:t>
      </w:r>
      <w:r w:rsidR="00DF51CA" w:rsidRPr="00482F12">
        <w:rPr>
          <w:rFonts w:cs="Arial"/>
          <w:szCs w:val="24"/>
        </w:rPr>
        <w:t xml:space="preserve">which are invested through applying </w:t>
      </w:r>
      <w:r w:rsidR="001A0777" w:rsidRPr="00482F12">
        <w:rPr>
          <w:rFonts w:cs="Arial"/>
          <w:szCs w:val="24"/>
        </w:rPr>
        <w:t>security and liquidity before yield</w:t>
      </w:r>
      <w:r w:rsidR="00DF51CA" w:rsidRPr="00482F12">
        <w:rPr>
          <w:rFonts w:cs="Arial"/>
          <w:szCs w:val="24"/>
        </w:rPr>
        <w:t xml:space="preserve"> principals.</w:t>
      </w:r>
    </w:p>
    <w:p w14:paraId="5E86F78C" w14:textId="18F7EF77" w:rsidR="005858F4" w:rsidRDefault="005858F4" w:rsidP="0099334D">
      <w:pPr>
        <w:pStyle w:val="subhead"/>
        <w:numPr>
          <w:ilvl w:val="0"/>
          <w:numId w:val="0"/>
        </w:numPr>
        <w:jc w:val="left"/>
        <w:rPr>
          <w:noProof w:val="0"/>
          <w:sz w:val="24"/>
          <w:szCs w:val="24"/>
        </w:rPr>
      </w:pPr>
      <w:r w:rsidRPr="004F56E4">
        <w:rPr>
          <w:noProof w:val="0"/>
          <w:sz w:val="24"/>
          <w:szCs w:val="24"/>
        </w:rPr>
        <w:t xml:space="preserve">Treasury Indicators: limits to borrowing </w:t>
      </w:r>
      <w:bookmarkEnd w:id="6"/>
      <w:r w:rsidR="00DF51CA" w:rsidRPr="004F56E4">
        <w:rPr>
          <w:noProof w:val="0"/>
          <w:sz w:val="24"/>
          <w:szCs w:val="24"/>
        </w:rPr>
        <w:t>activity.</w:t>
      </w:r>
    </w:p>
    <w:p w14:paraId="45A0497B" w14:textId="77777777" w:rsidR="005858F4" w:rsidRPr="00CD5231" w:rsidRDefault="005858F4" w:rsidP="0099334D">
      <w:pPr>
        <w:pStyle w:val="subhead"/>
        <w:numPr>
          <w:ilvl w:val="0"/>
          <w:numId w:val="0"/>
        </w:numPr>
        <w:jc w:val="left"/>
        <w:rPr>
          <w:noProof w:val="0"/>
          <w:sz w:val="24"/>
          <w:szCs w:val="24"/>
        </w:rPr>
      </w:pPr>
      <w:r w:rsidRPr="00CD5231">
        <w:rPr>
          <w:noProof w:val="0"/>
          <w:sz w:val="24"/>
          <w:szCs w:val="24"/>
        </w:rPr>
        <w:t>The operational boundary</w:t>
      </w:r>
    </w:p>
    <w:p w14:paraId="6C97B731" w14:textId="1DC94D9F" w:rsidR="0075726E" w:rsidRPr="00820F85" w:rsidRDefault="005858F4" w:rsidP="0099334D">
      <w:pPr>
        <w:pStyle w:val="ListParagraph"/>
        <w:numPr>
          <w:ilvl w:val="0"/>
          <w:numId w:val="14"/>
        </w:numPr>
        <w:ind w:left="0" w:hanging="720"/>
        <w:rPr>
          <w:rFonts w:cs="Arial"/>
          <w:bCs/>
          <w:szCs w:val="24"/>
        </w:rPr>
      </w:pPr>
      <w:r w:rsidRPr="00820F85">
        <w:rPr>
          <w:rFonts w:cs="Arial"/>
          <w:bCs/>
          <w:szCs w:val="24"/>
        </w:rPr>
        <w:t xml:space="preserve">This is the limit beyond which external debt is not normally expected to exceed.  The boundary is based on the Council’s programme for capital expenditure, capital financing requirement and cash flow requirements for the year. </w:t>
      </w:r>
    </w:p>
    <w:p w14:paraId="174A0166" w14:textId="7CD47295" w:rsidR="0075726E" w:rsidRDefault="0075726E" w:rsidP="0075726E">
      <w:pPr>
        <w:tabs>
          <w:tab w:val="left" w:pos="0"/>
        </w:tabs>
        <w:jc w:val="both"/>
        <w:rPr>
          <w:rFonts w:cs="Arial"/>
          <w:szCs w:val="24"/>
          <w:lang w:eastAsia="en-GB"/>
        </w:rPr>
      </w:pPr>
    </w:p>
    <w:p w14:paraId="312FCE93" w14:textId="7EC9AD90" w:rsidR="005858F4" w:rsidRDefault="0075726E" w:rsidP="00C87D53">
      <w:pPr>
        <w:tabs>
          <w:tab w:val="left" w:pos="0"/>
        </w:tabs>
        <w:jc w:val="both"/>
        <w:rPr>
          <w:rFonts w:cs="Arial"/>
          <w:szCs w:val="24"/>
          <w:lang w:eastAsia="en-GB"/>
        </w:rPr>
      </w:pPr>
      <w:r w:rsidRPr="0075726E">
        <w:rPr>
          <w:rFonts w:cs="Arial"/>
          <w:sz w:val="20"/>
          <w:lang w:eastAsia="en-GB"/>
        </w:rPr>
        <w:t xml:space="preserve">Table </w:t>
      </w:r>
      <w:r w:rsidR="00E06CEF">
        <w:rPr>
          <w:rFonts w:cs="Arial"/>
          <w:sz w:val="20"/>
          <w:lang w:eastAsia="en-GB"/>
        </w:rPr>
        <w:t>10</w:t>
      </w:r>
      <w:r w:rsidRPr="0075726E">
        <w:rPr>
          <w:rFonts w:cs="Arial"/>
          <w:sz w:val="20"/>
          <w:lang w:eastAsia="en-GB"/>
        </w:rPr>
        <w:t>: Operational Boundary</w:t>
      </w:r>
      <w:r w:rsidR="005858F4" w:rsidRPr="0075726E">
        <w:rPr>
          <w:rFonts w:cs="Arial"/>
          <w:szCs w:val="24"/>
          <w:lang w:eastAsia="en-GB"/>
        </w:rPr>
        <w:t xml:space="preserve"> </w:t>
      </w:r>
    </w:p>
    <w:p w14:paraId="05D2B82B" w14:textId="4688EF42" w:rsidR="00C10306" w:rsidRDefault="00DF51CA" w:rsidP="0075726E">
      <w:pPr>
        <w:tabs>
          <w:tab w:val="left" w:pos="0"/>
        </w:tabs>
        <w:jc w:val="both"/>
        <w:rPr>
          <w:rFonts w:cs="Arial"/>
          <w:szCs w:val="24"/>
          <w:lang w:eastAsia="en-GB"/>
        </w:rPr>
      </w:pPr>
      <w:r w:rsidRPr="00DF51CA">
        <w:rPr>
          <w:noProof/>
        </w:rPr>
        <w:drawing>
          <wp:inline distT="0" distB="0" distL="0" distR="0" wp14:anchorId="0E98865B" wp14:editId="74F45619">
            <wp:extent cx="5276215" cy="815975"/>
            <wp:effectExtent l="0" t="0" r="635" b="317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76215" cy="815975"/>
                    </a:xfrm>
                    <a:prstGeom prst="rect">
                      <a:avLst/>
                    </a:prstGeom>
                    <a:noFill/>
                    <a:ln>
                      <a:noFill/>
                    </a:ln>
                  </pic:spPr>
                </pic:pic>
              </a:graphicData>
            </a:graphic>
          </wp:inline>
        </w:drawing>
      </w:r>
    </w:p>
    <w:p w14:paraId="5F78051E" w14:textId="77777777" w:rsidR="005858F4" w:rsidRPr="00CD5231" w:rsidRDefault="005858F4" w:rsidP="005858F4">
      <w:pPr>
        <w:pStyle w:val="subhead"/>
        <w:numPr>
          <w:ilvl w:val="0"/>
          <w:numId w:val="0"/>
        </w:numPr>
        <w:rPr>
          <w:noProof w:val="0"/>
          <w:sz w:val="24"/>
          <w:szCs w:val="24"/>
        </w:rPr>
      </w:pPr>
      <w:r w:rsidRPr="00CD5231">
        <w:rPr>
          <w:noProof w:val="0"/>
          <w:sz w:val="24"/>
          <w:szCs w:val="24"/>
        </w:rPr>
        <w:t xml:space="preserve">The authorised limit for external debt. </w:t>
      </w:r>
    </w:p>
    <w:p w14:paraId="1A692A0A" w14:textId="77777777" w:rsidR="005858F4" w:rsidRPr="00820F85" w:rsidRDefault="005858F4" w:rsidP="0099334D">
      <w:pPr>
        <w:pStyle w:val="ListParagraph"/>
        <w:numPr>
          <w:ilvl w:val="0"/>
          <w:numId w:val="14"/>
        </w:numPr>
        <w:ind w:left="0" w:hanging="720"/>
        <w:rPr>
          <w:rFonts w:cs="Arial"/>
          <w:bCs/>
          <w:szCs w:val="24"/>
        </w:rPr>
      </w:pPr>
      <w:r w:rsidRPr="00820F85">
        <w:rPr>
          <w:rFonts w:cs="Arial"/>
          <w:bCs/>
          <w:szCs w:val="24"/>
        </w:rPr>
        <w:t xml:space="preserve">This is a key prudential indicator and represents a control on the maximum level of borrowing. This represents a legal limit beyond which external debt is prohibited, and this limit needs to be set or revised by the full Council.  </w:t>
      </w:r>
    </w:p>
    <w:p w14:paraId="4F7E88D0" w14:textId="77777777" w:rsidR="005858F4" w:rsidRPr="00820F85" w:rsidRDefault="005858F4" w:rsidP="0099334D">
      <w:pPr>
        <w:pStyle w:val="ListParagraph"/>
        <w:ind w:left="0"/>
        <w:rPr>
          <w:rFonts w:cs="Arial"/>
          <w:bCs/>
          <w:szCs w:val="24"/>
        </w:rPr>
      </w:pPr>
    </w:p>
    <w:p w14:paraId="445382D5" w14:textId="77777777" w:rsidR="005858F4" w:rsidRPr="00820F85" w:rsidRDefault="005858F4" w:rsidP="0099334D">
      <w:pPr>
        <w:pStyle w:val="ListParagraph"/>
        <w:numPr>
          <w:ilvl w:val="0"/>
          <w:numId w:val="14"/>
        </w:numPr>
        <w:ind w:left="0" w:hanging="720"/>
        <w:rPr>
          <w:rFonts w:cs="Arial"/>
          <w:bCs/>
          <w:szCs w:val="24"/>
        </w:rPr>
      </w:pPr>
      <w:r w:rsidRPr="00820F85">
        <w:rPr>
          <w:rFonts w:cs="Arial"/>
          <w:bCs/>
          <w:szCs w:val="24"/>
        </w:rPr>
        <w:t>This is the statutory limit determined under section 3 (1) of the Local Government Act 2003. The Government retains an option to control either the total of all councils’ plans, or those of a specific council, although this power has not yet been exercised.</w:t>
      </w:r>
    </w:p>
    <w:p w14:paraId="52CEF51A" w14:textId="77777777" w:rsidR="005858F4" w:rsidRPr="00CD5231" w:rsidRDefault="005858F4" w:rsidP="0099334D">
      <w:pPr>
        <w:pStyle w:val="ListParagraph"/>
        <w:tabs>
          <w:tab w:val="left" w:pos="0"/>
        </w:tabs>
        <w:ind w:left="0"/>
        <w:rPr>
          <w:rFonts w:cs="Arial"/>
          <w:szCs w:val="24"/>
          <w:lang w:eastAsia="en-GB"/>
        </w:rPr>
      </w:pPr>
    </w:p>
    <w:p w14:paraId="689DCA79" w14:textId="1AF58C70" w:rsidR="005858F4" w:rsidRPr="00145584" w:rsidRDefault="005858F4" w:rsidP="0099334D">
      <w:pPr>
        <w:pStyle w:val="ListParagraph"/>
        <w:ind w:left="0"/>
        <w:rPr>
          <w:rFonts w:cs="Arial"/>
          <w:bCs/>
          <w:szCs w:val="24"/>
        </w:rPr>
      </w:pPr>
      <w:r w:rsidRPr="00145584">
        <w:rPr>
          <w:rFonts w:cs="Arial"/>
          <w:bCs/>
          <w:szCs w:val="24"/>
        </w:rPr>
        <w:t>The Council is asked to approve the following authorised limit:</w:t>
      </w:r>
    </w:p>
    <w:p w14:paraId="3CF62DD1" w14:textId="1CBF0348" w:rsidR="000B1256" w:rsidRDefault="000B1256" w:rsidP="000B1256">
      <w:pPr>
        <w:rPr>
          <w:rFonts w:cs="Arial"/>
          <w:szCs w:val="24"/>
          <w:lang w:eastAsia="en-GB"/>
        </w:rPr>
      </w:pPr>
    </w:p>
    <w:p w14:paraId="59195C48" w14:textId="1219EBB4" w:rsidR="000B1256" w:rsidRDefault="000B1256" w:rsidP="00C87D53">
      <w:pPr>
        <w:rPr>
          <w:rFonts w:cs="Arial"/>
          <w:szCs w:val="24"/>
          <w:lang w:eastAsia="en-GB"/>
        </w:rPr>
      </w:pPr>
      <w:r w:rsidRPr="000B1256">
        <w:rPr>
          <w:rFonts w:cs="Arial"/>
          <w:sz w:val="20"/>
          <w:lang w:eastAsia="en-GB"/>
        </w:rPr>
        <w:t>Table 1</w:t>
      </w:r>
      <w:r w:rsidR="0031518E">
        <w:rPr>
          <w:rFonts w:cs="Arial"/>
          <w:sz w:val="20"/>
          <w:lang w:eastAsia="en-GB"/>
        </w:rPr>
        <w:t>1</w:t>
      </w:r>
      <w:r w:rsidRPr="000B1256">
        <w:rPr>
          <w:rFonts w:cs="Arial"/>
          <w:sz w:val="20"/>
          <w:lang w:eastAsia="en-GB"/>
        </w:rPr>
        <w:t>: Authorised Limit</w:t>
      </w:r>
    </w:p>
    <w:p w14:paraId="5E5A123A" w14:textId="37E34420" w:rsidR="005858F4" w:rsidRDefault="00DF51CA" w:rsidP="00A511C2">
      <w:pPr>
        <w:rPr>
          <w:rFonts w:cs="Arial"/>
          <w:szCs w:val="24"/>
          <w:lang w:eastAsia="en-GB"/>
        </w:rPr>
      </w:pPr>
      <w:r w:rsidRPr="00DF51CA">
        <w:rPr>
          <w:noProof/>
        </w:rPr>
        <w:drawing>
          <wp:inline distT="0" distB="0" distL="0" distR="0" wp14:anchorId="3C05235F" wp14:editId="6FF6B321">
            <wp:extent cx="5276215" cy="815975"/>
            <wp:effectExtent l="0" t="0" r="635" b="317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76215" cy="815975"/>
                    </a:xfrm>
                    <a:prstGeom prst="rect">
                      <a:avLst/>
                    </a:prstGeom>
                    <a:noFill/>
                    <a:ln>
                      <a:noFill/>
                    </a:ln>
                  </pic:spPr>
                </pic:pic>
              </a:graphicData>
            </a:graphic>
          </wp:inline>
        </w:drawing>
      </w:r>
    </w:p>
    <w:p w14:paraId="48958A05" w14:textId="77777777" w:rsidR="00A511C2" w:rsidRPr="00A511C2" w:rsidRDefault="00A511C2" w:rsidP="00A511C2">
      <w:pPr>
        <w:rPr>
          <w:rFonts w:cs="Arial"/>
          <w:szCs w:val="24"/>
          <w:lang w:eastAsia="en-GB"/>
        </w:rPr>
      </w:pPr>
    </w:p>
    <w:p w14:paraId="2C50E0C5" w14:textId="77777777" w:rsidR="005858F4" w:rsidRDefault="005858F4" w:rsidP="005858F4">
      <w:pPr>
        <w:jc w:val="both"/>
        <w:rPr>
          <w:rFonts w:cs="Arial"/>
          <w:b/>
          <w:bCs/>
          <w:szCs w:val="24"/>
          <w:lang w:eastAsia="en-GB"/>
        </w:rPr>
      </w:pPr>
      <w:r w:rsidRPr="00CD5231">
        <w:rPr>
          <w:rFonts w:cs="Arial"/>
          <w:b/>
          <w:bCs/>
          <w:szCs w:val="24"/>
          <w:lang w:eastAsia="en-GB"/>
        </w:rPr>
        <w:t>Prospects for Interest Rates</w:t>
      </w:r>
    </w:p>
    <w:p w14:paraId="35CBB990" w14:textId="77777777" w:rsidR="005858F4" w:rsidRDefault="005858F4" w:rsidP="005858F4">
      <w:pPr>
        <w:jc w:val="both"/>
        <w:rPr>
          <w:rFonts w:cs="Arial"/>
          <w:b/>
          <w:bCs/>
          <w:szCs w:val="24"/>
          <w:lang w:eastAsia="en-GB"/>
        </w:rPr>
      </w:pPr>
    </w:p>
    <w:p w14:paraId="6B2998A8" w14:textId="10FE28C2" w:rsidR="00783ABF" w:rsidRPr="00DC2EF4" w:rsidRDefault="005858F4" w:rsidP="0099334D">
      <w:pPr>
        <w:pStyle w:val="ListParagraph"/>
        <w:numPr>
          <w:ilvl w:val="0"/>
          <w:numId w:val="14"/>
        </w:numPr>
        <w:ind w:left="0" w:hanging="720"/>
        <w:rPr>
          <w:rFonts w:cs="Arial"/>
          <w:bCs/>
          <w:szCs w:val="24"/>
        </w:rPr>
      </w:pPr>
      <w:r w:rsidRPr="00DC2EF4">
        <w:rPr>
          <w:rFonts w:cs="Arial"/>
          <w:bCs/>
          <w:szCs w:val="24"/>
        </w:rPr>
        <w:t xml:space="preserve">The Council’s Treasury Management Adviser, Link </w:t>
      </w:r>
      <w:r w:rsidR="000B1256" w:rsidRPr="00DC2EF4">
        <w:rPr>
          <w:rFonts w:cs="Arial"/>
          <w:bCs/>
          <w:szCs w:val="24"/>
        </w:rPr>
        <w:t>Group</w:t>
      </w:r>
      <w:r w:rsidRPr="00DC2EF4">
        <w:rPr>
          <w:rFonts w:cs="Arial"/>
          <w:bCs/>
          <w:szCs w:val="24"/>
        </w:rPr>
        <w:t>, provided the following interest rate forecast</w:t>
      </w:r>
      <w:r w:rsidR="000B1256" w:rsidRPr="00DC2EF4">
        <w:rPr>
          <w:rFonts w:cs="Arial"/>
          <w:bCs/>
          <w:szCs w:val="24"/>
        </w:rPr>
        <w:t xml:space="preserve"> on </w:t>
      </w:r>
      <w:r w:rsidR="00A511C2" w:rsidRPr="00DC2EF4">
        <w:rPr>
          <w:rFonts w:cs="Arial"/>
          <w:bCs/>
          <w:szCs w:val="24"/>
        </w:rPr>
        <w:t>8 January</w:t>
      </w:r>
      <w:r w:rsidR="00CB090A" w:rsidRPr="00DC2EF4">
        <w:rPr>
          <w:rFonts w:cs="Arial"/>
          <w:bCs/>
          <w:szCs w:val="24"/>
        </w:rPr>
        <w:t xml:space="preserve"> 202</w:t>
      </w:r>
      <w:r w:rsidR="00A511C2" w:rsidRPr="00DC2EF4">
        <w:rPr>
          <w:rFonts w:cs="Arial"/>
          <w:bCs/>
          <w:szCs w:val="24"/>
        </w:rPr>
        <w:t>4</w:t>
      </w:r>
      <w:r w:rsidR="00783ABF" w:rsidRPr="00DC2EF4">
        <w:rPr>
          <w:rFonts w:cs="Arial"/>
          <w:bCs/>
          <w:szCs w:val="24"/>
        </w:rPr>
        <w:t>.  Th</w:t>
      </w:r>
      <w:r w:rsidR="00F63726" w:rsidRPr="00DC2EF4">
        <w:rPr>
          <w:rFonts w:cs="Arial"/>
          <w:bCs/>
          <w:szCs w:val="24"/>
        </w:rPr>
        <w:t>is</w:t>
      </w:r>
      <w:r w:rsidR="00783ABF" w:rsidRPr="00DC2EF4">
        <w:rPr>
          <w:rFonts w:cs="Arial"/>
          <w:bCs/>
          <w:szCs w:val="24"/>
        </w:rPr>
        <w:t xml:space="preserve"> </w:t>
      </w:r>
      <w:r w:rsidR="00F63726" w:rsidRPr="00DC2EF4">
        <w:rPr>
          <w:rFonts w:cs="Arial"/>
          <w:bCs/>
          <w:szCs w:val="24"/>
        </w:rPr>
        <w:t>includes</w:t>
      </w:r>
      <w:r w:rsidR="00783ABF" w:rsidRPr="00DC2EF4">
        <w:rPr>
          <w:rFonts w:cs="Arial"/>
          <w:bCs/>
          <w:szCs w:val="24"/>
        </w:rPr>
        <w:t xml:space="preserve"> forecasts for PWLB certainty rates, calculated as gilt yields plus 80 bps.</w:t>
      </w:r>
      <w:r w:rsidR="000241D4" w:rsidRPr="00DC2EF4">
        <w:rPr>
          <w:rFonts w:cs="Arial"/>
          <w:bCs/>
          <w:szCs w:val="24"/>
        </w:rPr>
        <w:t xml:space="preserve"> </w:t>
      </w:r>
    </w:p>
    <w:p w14:paraId="264D098C" w14:textId="77777777" w:rsidR="007E1775" w:rsidRDefault="007E1775" w:rsidP="007E1775">
      <w:pPr>
        <w:pStyle w:val="ListParagraph"/>
        <w:tabs>
          <w:tab w:val="left" w:pos="0"/>
        </w:tabs>
        <w:ind w:left="0"/>
        <w:jc w:val="both"/>
        <w:rPr>
          <w:rFonts w:cs="Arial"/>
          <w:szCs w:val="24"/>
          <w:lang w:eastAsia="en-GB"/>
        </w:rPr>
      </w:pPr>
    </w:p>
    <w:p w14:paraId="6E0B6E6A" w14:textId="235AEA17" w:rsidR="00783ABF" w:rsidRPr="00C87D53" w:rsidRDefault="0031518E" w:rsidP="00783ABF">
      <w:pPr>
        <w:pStyle w:val="ListParagraph"/>
        <w:tabs>
          <w:tab w:val="left" w:pos="0"/>
        </w:tabs>
        <w:ind w:left="0"/>
        <w:jc w:val="both"/>
        <w:rPr>
          <w:rFonts w:cs="Arial"/>
          <w:sz w:val="20"/>
          <w:lang w:eastAsia="en-GB"/>
        </w:rPr>
      </w:pPr>
      <w:r>
        <w:rPr>
          <w:rFonts w:cs="Arial"/>
          <w:sz w:val="20"/>
          <w:lang w:eastAsia="en-GB"/>
        </w:rPr>
        <w:t xml:space="preserve">Table 12: </w:t>
      </w:r>
      <w:r w:rsidR="00783ABF" w:rsidRPr="00783ABF">
        <w:rPr>
          <w:rFonts w:cs="Arial"/>
          <w:sz w:val="20"/>
          <w:lang w:eastAsia="en-GB"/>
        </w:rPr>
        <w:t xml:space="preserve">Link Group Interest Rate Forecast: </w:t>
      </w:r>
      <w:r w:rsidR="00A511C2">
        <w:rPr>
          <w:rFonts w:cs="Arial"/>
          <w:sz w:val="20"/>
          <w:lang w:eastAsia="en-GB"/>
        </w:rPr>
        <w:t>8 January</w:t>
      </w:r>
      <w:r w:rsidR="00CB090A">
        <w:rPr>
          <w:rFonts w:cs="Arial"/>
          <w:sz w:val="20"/>
          <w:lang w:eastAsia="en-GB"/>
        </w:rPr>
        <w:t xml:space="preserve"> 202</w:t>
      </w:r>
      <w:r w:rsidR="00A511C2">
        <w:rPr>
          <w:rFonts w:cs="Arial"/>
          <w:sz w:val="20"/>
          <w:lang w:eastAsia="en-GB"/>
        </w:rPr>
        <w:t>4</w:t>
      </w:r>
    </w:p>
    <w:p w14:paraId="32065793" w14:textId="1A53ED5E" w:rsidR="00783ABF" w:rsidRDefault="00A511C2" w:rsidP="00783ABF">
      <w:pPr>
        <w:pStyle w:val="ListParagraph"/>
        <w:tabs>
          <w:tab w:val="left" w:pos="0"/>
        </w:tabs>
        <w:ind w:left="0"/>
        <w:jc w:val="both"/>
        <w:rPr>
          <w:rFonts w:cs="Arial"/>
          <w:szCs w:val="24"/>
          <w:lang w:eastAsia="en-GB"/>
        </w:rPr>
      </w:pPr>
      <w:r w:rsidRPr="00742605">
        <w:rPr>
          <w:noProof/>
        </w:rPr>
        <w:drawing>
          <wp:inline distT="0" distB="0" distL="0" distR="0" wp14:anchorId="20C5FF79" wp14:editId="2CC40897">
            <wp:extent cx="5276215" cy="1103232"/>
            <wp:effectExtent l="0" t="0" r="635" b="19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276215" cy="1103232"/>
                    </a:xfrm>
                    <a:prstGeom prst="rect">
                      <a:avLst/>
                    </a:prstGeom>
                    <a:noFill/>
                    <a:ln>
                      <a:noFill/>
                    </a:ln>
                  </pic:spPr>
                </pic:pic>
              </a:graphicData>
            </a:graphic>
          </wp:inline>
        </w:drawing>
      </w:r>
    </w:p>
    <w:p w14:paraId="4FFE267D" w14:textId="77777777" w:rsidR="00790219" w:rsidRPr="00783ABF" w:rsidRDefault="00790219" w:rsidP="00783ABF">
      <w:pPr>
        <w:pStyle w:val="ListParagraph"/>
        <w:tabs>
          <w:tab w:val="left" w:pos="0"/>
        </w:tabs>
        <w:ind w:left="0"/>
        <w:jc w:val="both"/>
        <w:rPr>
          <w:rFonts w:cs="Arial"/>
          <w:szCs w:val="24"/>
          <w:lang w:eastAsia="en-GB"/>
        </w:rPr>
      </w:pPr>
    </w:p>
    <w:p w14:paraId="4DE927BA" w14:textId="03ECAF4D" w:rsidR="0031518E" w:rsidRPr="00DC2EF4" w:rsidRDefault="0031518E" w:rsidP="0099334D">
      <w:pPr>
        <w:pStyle w:val="ListParagraph"/>
        <w:numPr>
          <w:ilvl w:val="0"/>
          <w:numId w:val="14"/>
        </w:numPr>
        <w:ind w:left="0" w:hanging="720"/>
        <w:rPr>
          <w:rFonts w:cs="Arial"/>
          <w:bCs/>
          <w:szCs w:val="24"/>
        </w:rPr>
      </w:pPr>
      <w:r w:rsidRPr="00DC2EF4">
        <w:rPr>
          <w:rFonts w:cs="Arial"/>
          <w:bCs/>
          <w:szCs w:val="24"/>
        </w:rPr>
        <w:lastRenderedPageBreak/>
        <w:t xml:space="preserve">Link Groups central forecast for interest rates in their </w:t>
      </w:r>
      <w:r w:rsidR="00A511C2" w:rsidRPr="00DC2EF4">
        <w:rPr>
          <w:rFonts w:cs="Arial"/>
          <w:bCs/>
          <w:szCs w:val="24"/>
        </w:rPr>
        <w:t>8</w:t>
      </w:r>
      <w:r w:rsidR="00CB090A" w:rsidRPr="00DC2EF4">
        <w:rPr>
          <w:rFonts w:cs="Arial"/>
          <w:bCs/>
          <w:szCs w:val="24"/>
        </w:rPr>
        <w:t xml:space="preserve"> </w:t>
      </w:r>
      <w:r w:rsidR="00A511C2" w:rsidRPr="00DC2EF4">
        <w:rPr>
          <w:rFonts w:cs="Arial"/>
          <w:bCs/>
          <w:szCs w:val="24"/>
        </w:rPr>
        <w:t>January</w:t>
      </w:r>
      <w:r w:rsidR="00CB090A" w:rsidRPr="00DC2EF4">
        <w:rPr>
          <w:rFonts w:cs="Arial"/>
          <w:bCs/>
          <w:szCs w:val="24"/>
        </w:rPr>
        <w:t xml:space="preserve"> 202</w:t>
      </w:r>
      <w:r w:rsidR="00A511C2" w:rsidRPr="00DC2EF4">
        <w:rPr>
          <w:rFonts w:cs="Arial"/>
          <w:bCs/>
          <w:szCs w:val="24"/>
        </w:rPr>
        <w:t>4</w:t>
      </w:r>
      <w:r w:rsidRPr="00DC2EF4">
        <w:rPr>
          <w:rFonts w:cs="Arial"/>
          <w:bCs/>
          <w:szCs w:val="24"/>
        </w:rPr>
        <w:t xml:space="preserve"> </w:t>
      </w:r>
      <w:r w:rsidR="00DF51CA" w:rsidRPr="00DC2EF4">
        <w:rPr>
          <w:rFonts w:cs="Arial"/>
          <w:bCs/>
          <w:szCs w:val="24"/>
        </w:rPr>
        <w:t>update</w:t>
      </w:r>
      <w:r w:rsidRPr="00DC2EF4">
        <w:rPr>
          <w:rFonts w:cs="Arial"/>
          <w:bCs/>
          <w:szCs w:val="24"/>
        </w:rPr>
        <w:t xml:space="preserve"> </w:t>
      </w:r>
      <w:r w:rsidR="00CB090A" w:rsidRPr="00DC2EF4">
        <w:rPr>
          <w:rFonts w:cs="Arial"/>
          <w:bCs/>
          <w:szCs w:val="24"/>
        </w:rPr>
        <w:t xml:space="preserve">reflected a view that the MPC would be keen to further demonstrate its anti-inflation credentials by </w:t>
      </w:r>
      <w:r w:rsidR="00A511C2" w:rsidRPr="00DC2EF4">
        <w:rPr>
          <w:rFonts w:cs="Arial"/>
          <w:bCs/>
          <w:szCs w:val="24"/>
        </w:rPr>
        <w:t>maintaining Bank Rate at 5.25</w:t>
      </w:r>
      <w:r w:rsidR="00DF51CA" w:rsidRPr="00DC2EF4">
        <w:rPr>
          <w:rFonts w:cs="Arial"/>
          <w:bCs/>
          <w:szCs w:val="24"/>
        </w:rPr>
        <w:t>%</w:t>
      </w:r>
      <w:r w:rsidR="00A511C2" w:rsidRPr="00DC2EF4">
        <w:rPr>
          <w:rFonts w:cs="Arial"/>
          <w:bCs/>
          <w:szCs w:val="24"/>
        </w:rPr>
        <w:t xml:space="preserve"> until at least the second half of 2024.  Link Group expect rate cuts to commence when both CPI inflation and wage/employment data are supportive of such a move, and when there is a likelihood of the overall economy enduring at least a slowdown or mild recession over the coming months (although most recent GDP releases have surprised with their on-going robustness).</w:t>
      </w:r>
    </w:p>
    <w:p w14:paraId="3F80C6C3" w14:textId="77777777" w:rsidR="0031518E" w:rsidRPr="00DC2EF4" w:rsidRDefault="0031518E" w:rsidP="0099334D">
      <w:pPr>
        <w:pStyle w:val="ListParagraph"/>
        <w:ind w:left="0"/>
        <w:rPr>
          <w:rFonts w:cs="Arial"/>
          <w:bCs/>
          <w:szCs w:val="24"/>
        </w:rPr>
      </w:pPr>
    </w:p>
    <w:p w14:paraId="04A5E22A" w14:textId="6253301F" w:rsidR="0031518E" w:rsidRPr="00DC2EF4" w:rsidRDefault="0031518E" w:rsidP="0099334D">
      <w:pPr>
        <w:pStyle w:val="ListParagraph"/>
        <w:numPr>
          <w:ilvl w:val="0"/>
          <w:numId w:val="14"/>
        </w:numPr>
        <w:ind w:left="0" w:hanging="720"/>
        <w:rPr>
          <w:rFonts w:cs="Arial"/>
          <w:bCs/>
          <w:szCs w:val="24"/>
        </w:rPr>
      </w:pPr>
      <w:r w:rsidRPr="00DC2EF4">
        <w:rPr>
          <w:rFonts w:cs="Arial"/>
          <w:bCs/>
          <w:szCs w:val="24"/>
        </w:rPr>
        <w:t xml:space="preserve">Link Group </w:t>
      </w:r>
      <w:r w:rsidR="00A511C2" w:rsidRPr="00DC2EF4">
        <w:rPr>
          <w:rFonts w:cs="Arial"/>
          <w:bCs/>
          <w:szCs w:val="24"/>
        </w:rPr>
        <w:t>believe that</w:t>
      </w:r>
      <w:r w:rsidR="00CB090A" w:rsidRPr="00DC2EF4">
        <w:rPr>
          <w:rFonts w:cs="Arial"/>
          <w:bCs/>
          <w:szCs w:val="24"/>
        </w:rPr>
        <w:t xml:space="preserve"> timing will be one of fine judgment: cut too soon, and inflationary pressures may well build up further; cut too late and any downturn or recession may be prolonged.  </w:t>
      </w:r>
    </w:p>
    <w:p w14:paraId="1D968755" w14:textId="77777777" w:rsidR="0031518E" w:rsidRPr="000241D4" w:rsidRDefault="0031518E" w:rsidP="0099334D">
      <w:pPr>
        <w:pStyle w:val="ListParagraph"/>
        <w:ind w:left="0"/>
        <w:rPr>
          <w:rFonts w:cs="Arial"/>
          <w:bCs/>
          <w:szCs w:val="24"/>
          <w:highlight w:val="red"/>
        </w:rPr>
      </w:pPr>
    </w:p>
    <w:p w14:paraId="537653A4" w14:textId="388DFB69" w:rsidR="0031518E" w:rsidRPr="00DC2EF4" w:rsidRDefault="0031518E" w:rsidP="0099334D">
      <w:pPr>
        <w:pStyle w:val="ListParagraph"/>
        <w:numPr>
          <w:ilvl w:val="0"/>
          <w:numId w:val="14"/>
        </w:numPr>
        <w:ind w:left="0" w:hanging="720"/>
        <w:rPr>
          <w:rFonts w:cs="Arial"/>
          <w:bCs/>
          <w:szCs w:val="24"/>
        </w:rPr>
      </w:pPr>
      <w:r w:rsidRPr="00DC2EF4">
        <w:rPr>
          <w:rFonts w:cs="Arial"/>
          <w:bCs/>
          <w:szCs w:val="24"/>
        </w:rPr>
        <w:t>In the upcoming months, Link Groups</w:t>
      </w:r>
      <w:r w:rsidR="00DF51CA" w:rsidRPr="00DC2EF4">
        <w:rPr>
          <w:rFonts w:cs="Arial"/>
          <w:bCs/>
          <w:szCs w:val="24"/>
        </w:rPr>
        <w:t xml:space="preserve"> interest rate</w:t>
      </w:r>
      <w:r w:rsidRPr="00DC2EF4">
        <w:rPr>
          <w:rFonts w:cs="Arial"/>
          <w:bCs/>
          <w:szCs w:val="24"/>
        </w:rPr>
        <w:t xml:space="preserve"> forecasts will be guided not only by economic data releases and clarifications from the MPC over its monetary policies and the Government over its fiscal policies, </w:t>
      </w:r>
      <w:r w:rsidR="00A511C2" w:rsidRPr="00DC2EF4">
        <w:rPr>
          <w:rFonts w:cs="Arial"/>
          <w:bCs/>
          <w:szCs w:val="24"/>
        </w:rPr>
        <w:t>but also international factors such as policy development in the US and Europe, the provision of fresh support packages to support the faltering recovery in China as well as the on-going conflict between Russia and Ukraine, and Gaza and Israel.</w:t>
      </w:r>
    </w:p>
    <w:p w14:paraId="1A88141A" w14:textId="77777777" w:rsidR="000E4F6B" w:rsidRPr="00DC2EF4" w:rsidRDefault="000E4F6B" w:rsidP="0099334D">
      <w:pPr>
        <w:pStyle w:val="ListParagraph"/>
        <w:rPr>
          <w:rFonts w:cs="Arial"/>
          <w:bCs/>
          <w:szCs w:val="24"/>
        </w:rPr>
      </w:pPr>
    </w:p>
    <w:p w14:paraId="233099C6" w14:textId="1CB4EF41" w:rsidR="000E4F6B" w:rsidRPr="00DC2EF4" w:rsidRDefault="000E4F6B" w:rsidP="0099334D">
      <w:pPr>
        <w:pStyle w:val="ListParagraph"/>
        <w:numPr>
          <w:ilvl w:val="0"/>
          <w:numId w:val="14"/>
        </w:numPr>
        <w:ind w:left="0" w:hanging="720"/>
        <w:rPr>
          <w:rFonts w:cs="Arial"/>
          <w:bCs/>
          <w:szCs w:val="24"/>
        </w:rPr>
      </w:pPr>
      <w:r w:rsidRPr="00DC2EF4">
        <w:rPr>
          <w:rFonts w:cs="Arial"/>
          <w:bCs/>
          <w:szCs w:val="24"/>
        </w:rPr>
        <w:t>Risks identified by Link Group to current forecasts for UK Gilt yields and PWLB Rates include:</w:t>
      </w:r>
    </w:p>
    <w:p w14:paraId="37BC29CD" w14:textId="0619D567" w:rsidR="000E4F6B" w:rsidRPr="00DC2EF4" w:rsidRDefault="000E4F6B" w:rsidP="0099334D">
      <w:pPr>
        <w:spacing w:before="120" w:after="120"/>
        <w:contextualSpacing/>
        <w:rPr>
          <w:rFonts w:eastAsia="Calibri" w:cs="Arial"/>
          <w:bCs/>
          <w:color w:val="000000"/>
          <w:szCs w:val="24"/>
          <w:lang w:val="en-AU"/>
        </w:rPr>
      </w:pPr>
      <w:r w:rsidRPr="00DC2EF4">
        <w:rPr>
          <w:rFonts w:eastAsia="Calibri" w:cs="Arial"/>
          <w:bCs/>
          <w:color w:val="000000"/>
          <w:szCs w:val="24"/>
          <w:lang w:val="en-AU"/>
        </w:rPr>
        <w:t>Downside Risks:</w:t>
      </w:r>
    </w:p>
    <w:p w14:paraId="46C66DCC" w14:textId="644B4C54" w:rsidR="000E4F6B" w:rsidRPr="00DC2EF4" w:rsidRDefault="000E4F6B" w:rsidP="0099334D">
      <w:pPr>
        <w:numPr>
          <w:ilvl w:val="0"/>
          <w:numId w:val="27"/>
        </w:numPr>
        <w:spacing w:before="120" w:after="120"/>
        <w:contextualSpacing/>
        <w:rPr>
          <w:rFonts w:eastAsia="Calibri" w:cs="Arial"/>
          <w:bCs/>
          <w:color w:val="000000"/>
          <w:szCs w:val="24"/>
          <w:lang w:val="en-AU"/>
        </w:rPr>
      </w:pPr>
      <w:r w:rsidRPr="00DC2EF4">
        <w:rPr>
          <w:rFonts w:eastAsia="Calibri" w:cs="Arial"/>
          <w:bCs/>
          <w:color w:val="000000"/>
          <w:szCs w:val="24"/>
          <w:lang w:val="en-AU"/>
        </w:rPr>
        <w:t>Labour and supply shortages prove more enduring and disruptive and depress economic activity (accepting that in the near-term this is also an upside risk to inflation and, thus, could keep gilt yields high for longer).</w:t>
      </w:r>
    </w:p>
    <w:p w14:paraId="4E239B33" w14:textId="77777777" w:rsidR="000E4F6B" w:rsidRPr="00DC2EF4" w:rsidRDefault="000E4F6B" w:rsidP="0099334D">
      <w:pPr>
        <w:numPr>
          <w:ilvl w:val="0"/>
          <w:numId w:val="27"/>
        </w:numPr>
        <w:spacing w:before="120" w:after="120"/>
        <w:contextualSpacing/>
        <w:rPr>
          <w:rFonts w:eastAsia="Calibri" w:cs="Arial"/>
          <w:bCs/>
          <w:color w:val="000000"/>
          <w:szCs w:val="24"/>
          <w:lang w:val="en-AU"/>
        </w:rPr>
      </w:pPr>
      <w:r w:rsidRPr="00DC2EF4">
        <w:rPr>
          <w:rFonts w:eastAsia="Calibri" w:cs="Arial"/>
          <w:bCs/>
          <w:color w:val="000000"/>
          <w:szCs w:val="24"/>
          <w:lang w:val="en-AU"/>
        </w:rPr>
        <w:t xml:space="preserve">The Bank of England has increased Bank Rate too fast and too far over recent months, and subsequently brings about a deeper and longer UK recession than we currently anticipate. </w:t>
      </w:r>
    </w:p>
    <w:p w14:paraId="468FEAB5" w14:textId="77777777" w:rsidR="000E4F6B" w:rsidRPr="00DC2EF4" w:rsidRDefault="000E4F6B" w:rsidP="0099334D">
      <w:pPr>
        <w:numPr>
          <w:ilvl w:val="0"/>
          <w:numId w:val="27"/>
        </w:numPr>
        <w:spacing w:before="120" w:after="120"/>
        <w:contextualSpacing/>
        <w:rPr>
          <w:rFonts w:eastAsia="Calibri" w:cs="Arial"/>
          <w:bCs/>
          <w:color w:val="000000"/>
          <w:szCs w:val="24"/>
          <w:lang w:val="en-AU"/>
        </w:rPr>
      </w:pPr>
      <w:r w:rsidRPr="00DC2EF4">
        <w:rPr>
          <w:rFonts w:eastAsia="Calibri" w:cs="Arial"/>
          <w:bCs/>
          <w:color w:val="000000"/>
          <w:szCs w:val="24"/>
          <w:lang w:val="en-AU"/>
        </w:rPr>
        <w:t xml:space="preserve">Geopolitical risks, for example in Ukraine/Russia, the Middle East, China/Taiwan/US, </w:t>
      </w:r>
      <w:proofErr w:type="gramStart"/>
      <w:r w:rsidRPr="00DC2EF4">
        <w:rPr>
          <w:rFonts w:eastAsia="Calibri" w:cs="Arial"/>
          <w:bCs/>
          <w:color w:val="000000"/>
          <w:szCs w:val="24"/>
          <w:lang w:val="en-AU"/>
        </w:rPr>
        <w:t>Iran</w:t>
      </w:r>
      <w:proofErr w:type="gramEnd"/>
      <w:r w:rsidRPr="00DC2EF4">
        <w:rPr>
          <w:rFonts w:eastAsia="Calibri" w:cs="Arial"/>
          <w:bCs/>
          <w:color w:val="000000"/>
          <w:szCs w:val="24"/>
          <w:lang w:val="en-AU"/>
        </w:rPr>
        <w:t xml:space="preserve"> and North Korea, which could lead to increasing safe-haven flows. </w:t>
      </w:r>
    </w:p>
    <w:p w14:paraId="1A2BECFC" w14:textId="77777777" w:rsidR="000E4F6B" w:rsidRPr="000241D4" w:rsidRDefault="000E4F6B" w:rsidP="0099334D">
      <w:pPr>
        <w:spacing w:before="120" w:after="120"/>
        <w:ind w:left="720"/>
        <w:contextualSpacing/>
        <w:rPr>
          <w:rFonts w:eastAsia="Calibri" w:cs="Arial"/>
          <w:b/>
          <w:color w:val="000000"/>
          <w:szCs w:val="24"/>
          <w:highlight w:val="red"/>
          <w:lang w:val="en-AU"/>
        </w:rPr>
      </w:pPr>
    </w:p>
    <w:p w14:paraId="7465ECB4" w14:textId="77777777" w:rsidR="000E4F6B" w:rsidRPr="00DC2EF4" w:rsidRDefault="000E4F6B" w:rsidP="0099334D">
      <w:pPr>
        <w:spacing w:before="120" w:after="120"/>
        <w:contextualSpacing/>
        <w:rPr>
          <w:rFonts w:eastAsia="Calibri" w:cs="Arial"/>
          <w:bCs/>
          <w:color w:val="000000"/>
          <w:szCs w:val="24"/>
          <w:lang w:val="en-AU"/>
        </w:rPr>
      </w:pPr>
      <w:r w:rsidRPr="00DC2EF4">
        <w:rPr>
          <w:rFonts w:eastAsia="Calibri" w:cs="Arial"/>
          <w:bCs/>
          <w:color w:val="000000"/>
          <w:szCs w:val="24"/>
          <w:lang w:val="en-AU"/>
        </w:rPr>
        <w:t xml:space="preserve">Upside risks </w:t>
      </w:r>
    </w:p>
    <w:p w14:paraId="09E1A68B" w14:textId="5AB888D3" w:rsidR="000E4F6B" w:rsidRPr="00DC2EF4" w:rsidRDefault="000E4F6B" w:rsidP="0099334D">
      <w:pPr>
        <w:numPr>
          <w:ilvl w:val="0"/>
          <w:numId w:val="27"/>
        </w:numPr>
        <w:spacing w:before="120" w:after="120"/>
        <w:contextualSpacing/>
        <w:rPr>
          <w:rFonts w:eastAsia="Calibri" w:cs="Arial"/>
          <w:bCs/>
          <w:color w:val="000000"/>
          <w:szCs w:val="24"/>
          <w:lang w:val="en-AU"/>
        </w:rPr>
      </w:pPr>
      <w:r w:rsidRPr="00DC2EF4">
        <w:rPr>
          <w:rFonts w:eastAsia="Calibri" w:cs="Arial"/>
          <w:bCs/>
          <w:color w:val="000000"/>
          <w:szCs w:val="24"/>
          <w:lang w:val="en-AU"/>
        </w:rPr>
        <w:t>Despite the tightening in Bank Rate to 5.25%, the Bank of England allows inflationary pressures to remain elevated for a long period within the UK economy, which then necessitates Bank Rate staying higher for longer than we currently project.</w:t>
      </w:r>
    </w:p>
    <w:p w14:paraId="22F2D0D7" w14:textId="0C911D22" w:rsidR="000E4F6B" w:rsidRPr="00DC2EF4" w:rsidRDefault="000E4F6B" w:rsidP="0099334D">
      <w:pPr>
        <w:numPr>
          <w:ilvl w:val="0"/>
          <w:numId w:val="27"/>
        </w:numPr>
        <w:spacing w:before="120" w:after="120"/>
        <w:contextualSpacing/>
        <w:rPr>
          <w:rFonts w:eastAsia="Calibri" w:cs="Arial"/>
          <w:bCs/>
          <w:color w:val="000000"/>
          <w:szCs w:val="24"/>
          <w:lang w:val="en-AU"/>
        </w:rPr>
      </w:pPr>
      <w:r w:rsidRPr="00DC2EF4">
        <w:rPr>
          <w:rFonts w:eastAsia="Calibri" w:cs="Arial"/>
          <w:bCs/>
          <w:color w:val="000000"/>
          <w:szCs w:val="24"/>
          <w:lang w:val="en-AU"/>
        </w:rPr>
        <w:t>The pound weakens because of a lack of confidence in the UK Government’s pre-election fiscal policies, which may prove inflationary, resulting in investors pricing in a risk premium for holding UK sovereign debt.</w:t>
      </w:r>
    </w:p>
    <w:p w14:paraId="5FAF8132" w14:textId="58091243" w:rsidR="000E4F6B" w:rsidRPr="00DC2EF4" w:rsidRDefault="000E4F6B" w:rsidP="0099334D">
      <w:pPr>
        <w:numPr>
          <w:ilvl w:val="0"/>
          <w:numId w:val="27"/>
        </w:numPr>
        <w:spacing w:before="120" w:after="120"/>
        <w:contextualSpacing/>
        <w:rPr>
          <w:rFonts w:eastAsia="Calibri" w:cs="Arial"/>
          <w:bCs/>
          <w:color w:val="000000"/>
          <w:szCs w:val="24"/>
          <w:lang w:val="en-AU"/>
        </w:rPr>
      </w:pPr>
      <w:r w:rsidRPr="00DC2EF4">
        <w:rPr>
          <w:rFonts w:eastAsia="Calibri" w:cs="Arial"/>
          <w:bCs/>
          <w:color w:val="000000"/>
          <w:szCs w:val="24"/>
          <w:lang w:val="en-AU"/>
        </w:rPr>
        <w:t>Projected gilt issuance, inclusive of natural maturities and QT, could be too much for the markets to comfortably digest without higher yields compensating.</w:t>
      </w:r>
    </w:p>
    <w:p w14:paraId="74EF7F42" w14:textId="459AA9E1" w:rsidR="00783ABF" w:rsidRPr="00790219" w:rsidRDefault="00783ABF" w:rsidP="0099334D">
      <w:pPr>
        <w:pStyle w:val="ListParagraph"/>
        <w:tabs>
          <w:tab w:val="left" w:pos="0"/>
        </w:tabs>
        <w:ind w:left="0"/>
        <w:rPr>
          <w:rFonts w:cs="Arial"/>
          <w:szCs w:val="24"/>
          <w:lang w:eastAsia="en-GB"/>
        </w:rPr>
      </w:pPr>
    </w:p>
    <w:p w14:paraId="48F2AD5B" w14:textId="52608D9D" w:rsidR="005858F4" w:rsidRPr="00820F85" w:rsidRDefault="005858F4" w:rsidP="0099334D">
      <w:pPr>
        <w:pStyle w:val="ListParagraph"/>
        <w:numPr>
          <w:ilvl w:val="0"/>
          <w:numId w:val="14"/>
        </w:numPr>
        <w:ind w:left="0" w:hanging="720"/>
        <w:rPr>
          <w:rFonts w:cs="Arial"/>
          <w:bCs/>
          <w:szCs w:val="24"/>
        </w:rPr>
      </w:pPr>
      <w:r w:rsidRPr="00820F85">
        <w:rPr>
          <w:rFonts w:cs="Arial"/>
          <w:bCs/>
          <w:szCs w:val="24"/>
        </w:rPr>
        <w:t>Additional commentary on the prospects for interest rates</w:t>
      </w:r>
      <w:r w:rsidRPr="00CB090A">
        <w:rPr>
          <w:rFonts w:cs="Arial"/>
          <w:bCs/>
          <w:szCs w:val="24"/>
        </w:rPr>
        <w:t>, (Appendix D) and economic background, (Appendix E)</w:t>
      </w:r>
      <w:r w:rsidRPr="00820F85">
        <w:rPr>
          <w:rFonts w:cs="Arial"/>
          <w:bCs/>
          <w:szCs w:val="24"/>
        </w:rPr>
        <w:t xml:space="preserve"> are contained within the appendices to this report</w:t>
      </w:r>
      <w:r w:rsidR="008636DA" w:rsidRPr="00820F85">
        <w:rPr>
          <w:rFonts w:cs="Arial"/>
          <w:bCs/>
          <w:szCs w:val="24"/>
        </w:rPr>
        <w:t>.</w:t>
      </w:r>
      <w:r w:rsidR="008627A6" w:rsidRPr="00820F85">
        <w:rPr>
          <w:rFonts w:cs="Arial"/>
          <w:bCs/>
          <w:szCs w:val="24"/>
        </w:rPr>
        <w:t xml:space="preserve"> </w:t>
      </w:r>
    </w:p>
    <w:p w14:paraId="19555F8E" w14:textId="77777777" w:rsidR="008636DA" w:rsidRPr="00820F85" w:rsidRDefault="008636DA" w:rsidP="0099334D">
      <w:pPr>
        <w:pStyle w:val="ListParagraph"/>
        <w:ind w:left="0"/>
        <w:rPr>
          <w:rFonts w:cs="Arial"/>
          <w:bCs/>
          <w:szCs w:val="24"/>
        </w:rPr>
      </w:pPr>
    </w:p>
    <w:p w14:paraId="0338139F" w14:textId="68D4E4D1" w:rsidR="008636DA" w:rsidRPr="00820F85" w:rsidRDefault="008636DA" w:rsidP="0099334D">
      <w:pPr>
        <w:pStyle w:val="ListParagraph"/>
        <w:numPr>
          <w:ilvl w:val="0"/>
          <w:numId w:val="14"/>
        </w:numPr>
        <w:ind w:left="0" w:hanging="720"/>
        <w:rPr>
          <w:rFonts w:cs="Arial"/>
          <w:bCs/>
          <w:szCs w:val="24"/>
        </w:rPr>
      </w:pPr>
      <w:r w:rsidRPr="00820F85">
        <w:rPr>
          <w:rFonts w:cs="Arial"/>
          <w:bCs/>
          <w:szCs w:val="24"/>
        </w:rPr>
        <w:t>Updates to Link Groups interest rate forecasts are received by officers throughout the year.</w:t>
      </w:r>
    </w:p>
    <w:p w14:paraId="6798AEF5" w14:textId="4B6AE701" w:rsidR="005858F4" w:rsidRDefault="005858F4" w:rsidP="0099334D">
      <w:pPr>
        <w:pStyle w:val="ListParagraph"/>
        <w:tabs>
          <w:tab w:val="left" w:pos="0"/>
        </w:tabs>
        <w:ind w:left="0"/>
        <w:rPr>
          <w:rFonts w:cs="Arial"/>
          <w:szCs w:val="24"/>
          <w:lang w:eastAsia="en-GB"/>
        </w:rPr>
      </w:pPr>
    </w:p>
    <w:p w14:paraId="1D71E837" w14:textId="62ADF731" w:rsidR="005858F4" w:rsidRDefault="005858F4" w:rsidP="0099334D">
      <w:pPr>
        <w:rPr>
          <w:b/>
          <w:bCs/>
        </w:rPr>
      </w:pPr>
      <w:bookmarkStart w:id="7" w:name="_Toc60749552"/>
      <w:r w:rsidRPr="00CD5231">
        <w:rPr>
          <w:b/>
          <w:bCs/>
        </w:rPr>
        <w:t>Borrowing strategy</w:t>
      </w:r>
      <w:bookmarkEnd w:id="7"/>
    </w:p>
    <w:p w14:paraId="46F109DD" w14:textId="77777777" w:rsidR="00820F85" w:rsidRPr="00CD5231" w:rsidRDefault="00820F85" w:rsidP="0099334D">
      <w:pPr>
        <w:rPr>
          <w:rFonts w:cs="Arial"/>
          <w:b/>
          <w:bCs/>
          <w:szCs w:val="24"/>
          <w:lang w:eastAsia="en-GB"/>
        </w:rPr>
      </w:pPr>
    </w:p>
    <w:p w14:paraId="15618EAD" w14:textId="639F5FA6" w:rsidR="005858F4" w:rsidRDefault="005858F4" w:rsidP="0099334D">
      <w:pPr>
        <w:pStyle w:val="ListParagraph"/>
        <w:numPr>
          <w:ilvl w:val="0"/>
          <w:numId w:val="14"/>
        </w:numPr>
        <w:ind w:left="0" w:hanging="720"/>
        <w:rPr>
          <w:rFonts w:cs="Arial"/>
          <w:bCs/>
          <w:szCs w:val="24"/>
        </w:rPr>
      </w:pPr>
      <w:r w:rsidRPr="000E4F6B">
        <w:rPr>
          <w:rFonts w:cs="Arial"/>
          <w:bCs/>
          <w:szCs w:val="24"/>
        </w:rPr>
        <w:t>As shown in paragraph 3.</w:t>
      </w:r>
      <w:r w:rsidR="00B85F8A" w:rsidRPr="000E4F6B">
        <w:rPr>
          <w:rFonts w:cs="Arial"/>
          <w:bCs/>
          <w:szCs w:val="24"/>
        </w:rPr>
        <w:t>1</w:t>
      </w:r>
      <w:r w:rsidRPr="000E4F6B">
        <w:rPr>
          <w:rFonts w:cs="Arial"/>
          <w:bCs/>
          <w:szCs w:val="24"/>
        </w:rPr>
        <w:t xml:space="preserve"> </w:t>
      </w:r>
      <w:r w:rsidR="001D3CA8" w:rsidRPr="000E4F6B">
        <w:rPr>
          <w:rFonts w:cs="Arial"/>
          <w:bCs/>
          <w:szCs w:val="24"/>
        </w:rPr>
        <w:t>on</w:t>
      </w:r>
      <w:r w:rsidRPr="000E4F6B">
        <w:rPr>
          <w:rFonts w:cs="Arial"/>
          <w:bCs/>
          <w:szCs w:val="24"/>
        </w:rPr>
        <w:t xml:space="preserve"> 31</w:t>
      </w:r>
      <w:r w:rsidR="00B85F8A" w:rsidRPr="000E4F6B">
        <w:rPr>
          <w:rFonts w:cs="Arial"/>
          <w:bCs/>
          <w:szCs w:val="24"/>
        </w:rPr>
        <w:t xml:space="preserve"> </w:t>
      </w:r>
      <w:r w:rsidRPr="000E4F6B">
        <w:rPr>
          <w:rFonts w:cs="Arial"/>
          <w:bCs/>
          <w:szCs w:val="24"/>
        </w:rPr>
        <w:t>December 20</w:t>
      </w:r>
      <w:r w:rsidR="00B85F8A" w:rsidRPr="000E4F6B">
        <w:rPr>
          <w:rFonts w:cs="Arial"/>
          <w:bCs/>
          <w:szCs w:val="24"/>
        </w:rPr>
        <w:t>2</w:t>
      </w:r>
      <w:r w:rsidR="000E4F6B" w:rsidRPr="000E4F6B">
        <w:rPr>
          <w:rFonts w:cs="Arial"/>
          <w:bCs/>
          <w:szCs w:val="24"/>
        </w:rPr>
        <w:t>3</w:t>
      </w:r>
      <w:r w:rsidRPr="000E4F6B">
        <w:rPr>
          <w:rFonts w:cs="Arial"/>
          <w:bCs/>
          <w:szCs w:val="24"/>
        </w:rPr>
        <w:t xml:space="preserve"> the Council had a debt portfolio of £4</w:t>
      </w:r>
      <w:r w:rsidR="00B9613E" w:rsidRPr="000E4F6B">
        <w:rPr>
          <w:rFonts w:cs="Arial"/>
          <w:bCs/>
          <w:szCs w:val="24"/>
        </w:rPr>
        <w:t>17.261</w:t>
      </w:r>
      <w:r w:rsidRPr="000E4F6B">
        <w:rPr>
          <w:rFonts w:cs="Arial"/>
          <w:bCs/>
          <w:szCs w:val="24"/>
        </w:rPr>
        <w:t>m</w:t>
      </w:r>
      <w:r w:rsidR="00B85F8A" w:rsidRPr="000E4F6B">
        <w:rPr>
          <w:rFonts w:cs="Arial"/>
          <w:bCs/>
          <w:szCs w:val="24"/>
        </w:rPr>
        <w:t>, with an average rate of 3.4</w:t>
      </w:r>
      <w:r w:rsidR="00B9613E" w:rsidRPr="000E4F6B">
        <w:rPr>
          <w:rFonts w:cs="Arial"/>
          <w:bCs/>
          <w:szCs w:val="24"/>
        </w:rPr>
        <w:t>5</w:t>
      </w:r>
      <w:r w:rsidR="00B85F8A" w:rsidRPr="000E4F6B">
        <w:rPr>
          <w:rFonts w:cs="Arial"/>
          <w:bCs/>
          <w:szCs w:val="24"/>
        </w:rPr>
        <w:t>%</w:t>
      </w:r>
      <w:r w:rsidRPr="000E4F6B">
        <w:rPr>
          <w:rFonts w:cs="Arial"/>
          <w:bCs/>
          <w:szCs w:val="24"/>
        </w:rPr>
        <w:t xml:space="preserve"> and an average </w:t>
      </w:r>
      <w:r w:rsidR="00B85F8A" w:rsidRPr="000E4F6B">
        <w:rPr>
          <w:rFonts w:cs="Arial"/>
          <w:bCs/>
          <w:szCs w:val="24"/>
        </w:rPr>
        <w:t>life</w:t>
      </w:r>
      <w:r w:rsidRPr="000E4F6B">
        <w:rPr>
          <w:rFonts w:cs="Arial"/>
          <w:bCs/>
          <w:szCs w:val="24"/>
        </w:rPr>
        <w:t xml:space="preserve"> of 3</w:t>
      </w:r>
      <w:r w:rsidR="000E4F6B" w:rsidRPr="000E4F6B">
        <w:rPr>
          <w:rFonts w:cs="Arial"/>
          <w:bCs/>
          <w:szCs w:val="24"/>
        </w:rPr>
        <w:t>4</w:t>
      </w:r>
      <w:r w:rsidRPr="000E4F6B">
        <w:rPr>
          <w:rFonts w:cs="Arial"/>
          <w:bCs/>
          <w:szCs w:val="24"/>
        </w:rPr>
        <w:t>.</w:t>
      </w:r>
      <w:r w:rsidR="00B9613E" w:rsidRPr="000E4F6B">
        <w:rPr>
          <w:rFonts w:cs="Arial"/>
          <w:bCs/>
          <w:szCs w:val="24"/>
        </w:rPr>
        <w:t>7</w:t>
      </w:r>
      <w:r w:rsidRPr="000E4F6B">
        <w:rPr>
          <w:rFonts w:cs="Arial"/>
          <w:bCs/>
          <w:szCs w:val="24"/>
        </w:rPr>
        <w:t xml:space="preserve"> years.</w:t>
      </w:r>
      <w:r w:rsidR="00B9613E" w:rsidRPr="000E4F6B">
        <w:rPr>
          <w:rFonts w:cs="Arial"/>
          <w:bCs/>
          <w:szCs w:val="24"/>
        </w:rPr>
        <w:t xml:space="preserve">  </w:t>
      </w:r>
    </w:p>
    <w:p w14:paraId="74255ABD" w14:textId="77777777" w:rsidR="000E4F6B" w:rsidRPr="000E4F6B" w:rsidRDefault="000E4F6B" w:rsidP="0099334D">
      <w:pPr>
        <w:pStyle w:val="ListParagraph"/>
        <w:ind w:left="0"/>
        <w:rPr>
          <w:rFonts w:cs="Arial"/>
          <w:bCs/>
          <w:szCs w:val="24"/>
        </w:rPr>
      </w:pPr>
    </w:p>
    <w:p w14:paraId="5AAB41C9" w14:textId="7505451B" w:rsidR="005858F4" w:rsidRPr="00820F85" w:rsidRDefault="005858F4" w:rsidP="0099334D">
      <w:pPr>
        <w:pStyle w:val="ListParagraph"/>
        <w:numPr>
          <w:ilvl w:val="0"/>
          <w:numId w:val="14"/>
        </w:numPr>
        <w:ind w:left="0" w:hanging="720"/>
        <w:rPr>
          <w:rFonts w:cs="Arial"/>
          <w:bCs/>
          <w:szCs w:val="24"/>
        </w:rPr>
      </w:pPr>
      <w:r w:rsidRPr="00820F85">
        <w:rPr>
          <w:rFonts w:cs="Arial"/>
          <w:bCs/>
          <w:szCs w:val="24"/>
        </w:rPr>
        <w:t xml:space="preserve">The Council is currently maintaining an under-borrowed position, </w:t>
      </w:r>
      <w:r w:rsidR="00B85F8A" w:rsidRPr="00820F85">
        <w:rPr>
          <w:rFonts w:cs="Arial"/>
          <w:bCs/>
          <w:szCs w:val="24"/>
        </w:rPr>
        <w:t>which was £1</w:t>
      </w:r>
      <w:r w:rsidR="000E4F6B">
        <w:rPr>
          <w:rFonts w:cs="Arial"/>
          <w:bCs/>
          <w:szCs w:val="24"/>
        </w:rPr>
        <w:t>47</w:t>
      </w:r>
      <w:r w:rsidR="00B85F8A" w:rsidRPr="00820F85">
        <w:rPr>
          <w:rFonts w:cs="Arial"/>
          <w:bCs/>
          <w:szCs w:val="24"/>
        </w:rPr>
        <w:t xml:space="preserve">m </w:t>
      </w:r>
      <w:proofErr w:type="gramStart"/>
      <w:r w:rsidR="00B85F8A" w:rsidRPr="00820F85">
        <w:rPr>
          <w:rFonts w:cs="Arial"/>
          <w:bCs/>
          <w:szCs w:val="24"/>
        </w:rPr>
        <w:t>a</w:t>
      </w:r>
      <w:r w:rsidR="005675D3" w:rsidRPr="00820F85">
        <w:rPr>
          <w:rFonts w:cs="Arial"/>
          <w:bCs/>
          <w:szCs w:val="24"/>
        </w:rPr>
        <w:t>t</w:t>
      </w:r>
      <w:proofErr w:type="gramEnd"/>
      <w:r w:rsidR="005675D3" w:rsidRPr="00820F85">
        <w:rPr>
          <w:rFonts w:cs="Arial"/>
          <w:bCs/>
          <w:szCs w:val="24"/>
        </w:rPr>
        <w:t xml:space="preserve"> </w:t>
      </w:r>
      <w:r w:rsidR="00B85F8A" w:rsidRPr="00820F85">
        <w:rPr>
          <w:rFonts w:cs="Arial"/>
          <w:bCs/>
          <w:szCs w:val="24"/>
        </w:rPr>
        <w:t>31 March 202</w:t>
      </w:r>
      <w:r w:rsidR="000E4F6B">
        <w:rPr>
          <w:rFonts w:cs="Arial"/>
          <w:bCs/>
          <w:szCs w:val="24"/>
        </w:rPr>
        <w:t>3</w:t>
      </w:r>
      <w:r w:rsidRPr="00820F85">
        <w:rPr>
          <w:rFonts w:cs="Arial"/>
          <w:bCs/>
          <w:szCs w:val="24"/>
        </w:rPr>
        <w:t xml:space="preserve">. This means that the </w:t>
      </w:r>
      <w:r w:rsidR="00B85F8A" w:rsidRPr="00820F85">
        <w:rPr>
          <w:rFonts w:cs="Arial"/>
          <w:bCs/>
          <w:szCs w:val="24"/>
        </w:rPr>
        <w:t>C</w:t>
      </w:r>
      <w:r w:rsidRPr="00820F85">
        <w:rPr>
          <w:rFonts w:cs="Arial"/>
          <w:bCs/>
          <w:szCs w:val="24"/>
        </w:rPr>
        <w:t xml:space="preserve">apital </w:t>
      </w:r>
      <w:r w:rsidR="00B85F8A" w:rsidRPr="00820F85">
        <w:rPr>
          <w:rFonts w:cs="Arial"/>
          <w:bCs/>
          <w:szCs w:val="24"/>
        </w:rPr>
        <w:t>F</w:t>
      </w:r>
      <w:r w:rsidRPr="00820F85">
        <w:rPr>
          <w:rFonts w:cs="Arial"/>
          <w:bCs/>
          <w:szCs w:val="24"/>
        </w:rPr>
        <w:t xml:space="preserve">inancing </w:t>
      </w:r>
      <w:r w:rsidR="005675D3" w:rsidRPr="00820F85">
        <w:rPr>
          <w:rFonts w:cs="Arial"/>
          <w:bCs/>
          <w:szCs w:val="24"/>
        </w:rPr>
        <w:t>Requirement has</w:t>
      </w:r>
      <w:r w:rsidRPr="00820F85">
        <w:rPr>
          <w:rFonts w:cs="Arial"/>
          <w:bCs/>
          <w:szCs w:val="24"/>
        </w:rPr>
        <w:t xml:space="preserve"> not been fully funded with external loan debt as internal cash balances have been used </w:t>
      </w:r>
      <w:r w:rsidR="00B85F8A" w:rsidRPr="00820F85">
        <w:rPr>
          <w:rFonts w:cs="Arial"/>
          <w:bCs/>
          <w:szCs w:val="24"/>
        </w:rPr>
        <w:t>temporarily</w:t>
      </w:r>
      <w:r w:rsidRPr="00820F85">
        <w:rPr>
          <w:rFonts w:cs="Arial"/>
          <w:bCs/>
          <w:szCs w:val="24"/>
        </w:rPr>
        <w:t xml:space="preserve"> to finance the capital programme.</w:t>
      </w:r>
      <w:r w:rsidR="00B85F8A" w:rsidRPr="00820F85">
        <w:rPr>
          <w:rFonts w:cs="Arial"/>
          <w:bCs/>
          <w:szCs w:val="24"/>
        </w:rPr>
        <w:t xml:space="preserve">  In foregoing lost investment income, the Council benefits from the differential between this and the external borrowing cost.  </w:t>
      </w:r>
      <w:r w:rsidRPr="00820F85">
        <w:rPr>
          <w:rFonts w:cs="Arial"/>
          <w:bCs/>
          <w:szCs w:val="24"/>
        </w:rPr>
        <w:t>This strategy is kept under review by the Director of Finance.</w:t>
      </w:r>
    </w:p>
    <w:p w14:paraId="7707AC09" w14:textId="77777777" w:rsidR="005858F4" w:rsidRPr="00820F85" w:rsidRDefault="005858F4" w:rsidP="0099334D">
      <w:pPr>
        <w:pStyle w:val="ListParagraph"/>
        <w:ind w:left="0"/>
        <w:rPr>
          <w:rFonts w:cs="Arial"/>
          <w:bCs/>
          <w:szCs w:val="24"/>
        </w:rPr>
      </w:pPr>
    </w:p>
    <w:p w14:paraId="7C5FC44F" w14:textId="291475BA" w:rsidR="005858F4" w:rsidRPr="00820F85" w:rsidRDefault="005858F4" w:rsidP="0099334D">
      <w:pPr>
        <w:pStyle w:val="ListParagraph"/>
        <w:numPr>
          <w:ilvl w:val="0"/>
          <w:numId w:val="14"/>
        </w:numPr>
        <w:ind w:left="0" w:hanging="720"/>
        <w:rPr>
          <w:rFonts w:cs="Arial"/>
          <w:bCs/>
          <w:szCs w:val="24"/>
        </w:rPr>
      </w:pPr>
      <w:r w:rsidRPr="00820F85">
        <w:rPr>
          <w:rFonts w:cs="Arial"/>
          <w:bCs/>
          <w:szCs w:val="24"/>
        </w:rPr>
        <w:t xml:space="preserve">In terms of future borrowing, the Council has a range of funding sources available and will need to base its decisions on optimum borrowing times and periods </w:t>
      </w:r>
      <w:proofErr w:type="gramStart"/>
      <w:r w:rsidRPr="00820F85">
        <w:rPr>
          <w:rFonts w:cs="Arial"/>
          <w:bCs/>
          <w:szCs w:val="24"/>
        </w:rPr>
        <w:t>taking into account</w:t>
      </w:r>
      <w:proofErr w:type="gramEnd"/>
      <w:r w:rsidRPr="00820F85">
        <w:rPr>
          <w:rFonts w:cs="Arial"/>
          <w:bCs/>
          <w:szCs w:val="24"/>
        </w:rPr>
        <w:t xml:space="preserve"> current interest rates</w:t>
      </w:r>
      <w:r w:rsidR="009170DE" w:rsidRPr="00820F85">
        <w:rPr>
          <w:rFonts w:cs="Arial"/>
          <w:bCs/>
          <w:szCs w:val="24"/>
        </w:rPr>
        <w:t>,</w:t>
      </w:r>
      <w:r w:rsidRPr="00820F85">
        <w:rPr>
          <w:rFonts w:cs="Arial"/>
          <w:bCs/>
          <w:szCs w:val="24"/>
        </w:rPr>
        <w:t xml:space="preserve"> </w:t>
      </w:r>
      <w:r w:rsidR="009170DE" w:rsidRPr="00820F85">
        <w:rPr>
          <w:rFonts w:cs="Arial"/>
          <w:bCs/>
          <w:szCs w:val="24"/>
        </w:rPr>
        <w:t>forecast</w:t>
      </w:r>
      <w:r w:rsidRPr="00820F85">
        <w:rPr>
          <w:rFonts w:cs="Arial"/>
          <w:bCs/>
          <w:szCs w:val="24"/>
        </w:rPr>
        <w:t xml:space="preserve"> movements and the “cost of carry” (</w:t>
      </w:r>
      <w:r w:rsidR="009170DE" w:rsidRPr="00820F85">
        <w:rPr>
          <w:rFonts w:cs="Arial"/>
          <w:bCs/>
          <w:szCs w:val="24"/>
        </w:rPr>
        <w:t xml:space="preserve">the </w:t>
      </w:r>
      <w:r w:rsidRPr="00820F85">
        <w:rPr>
          <w:rFonts w:cs="Arial"/>
          <w:bCs/>
          <w:szCs w:val="24"/>
        </w:rPr>
        <w:t>difference between rates for borrowing and rates for investments).</w:t>
      </w:r>
      <w:r w:rsidR="00B9613E" w:rsidRPr="00820F85">
        <w:rPr>
          <w:rFonts w:cs="Arial"/>
          <w:bCs/>
          <w:szCs w:val="24"/>
        </w:rPr>
        <w:t xml:space="preserve">  </w:t>
      </w:r>
      <w:r w:rsidR="00B9613E" w:rsidRPr="00CC5194">
        <w:rPr>
          <w:rFonts w:cs="Arial"/>
          <w:bCs/>
          <w:szCs w:val="24"/>
        </w:rPr>
        <w:t xml:space="preserve">With the introduction of the Liability Benchmark as a Prudential Indicator, </w:t>
      </w:r>
      <w:r w:rsidR="00CC5194">
        <w:rPr>
          <w:rFonts w:cs="Arial"/>
          <w:bCs/>
          <w:szCs w:val="24"/>
        </w:rPr>
        <w:t xml:space="preserve">the Council </w:t>
      </w:r>
      <w:r w:rsidR="00B9613E" w:rsidRPr="00CC5194">
        <w:rPr>
          <w:rFonts w:cs="Arial"/>
          <w:bCs/>
          <w:szCs w:val="24"/>
        </w:rPr>
        <w:t>will also have regard to this when taking future borrowing decisions</w:t>
      </w:r>
      <w:r w:rsidR="00B9613E" w:rsidRPr="00820F85">
        <w:rPr>
          <w:rFonts w:cs="Arial"/>
          <w:bCs/>
          <w:szCs w:val="24"/>
        </w:rPr>
        <w:t>.</w:t>
      </w:r>
    </w:p>
    <w:p w14:paraId="00FB1266" w14:textId="77777777" w:rsidR="005858F4" w:rsidRPr="00820F85" w:rsidRDefault="005858F4" w:rsidP="0099334D">
      <w:pPr>
        <w:pStyle w:val="ListParagraph"/>
        <w:ind w:left="0"/>
        <w:rPr>
          <w:rFonts w:cs="Arial"/>
          <w:bCs/>
          <w:szCs w:val="24"/>
        </w:rPr>
      </w:pPr>
    </w:p>
    <w:p w14:paraId="0413B3BF" w14:textId="63E9A0F8" w:rsidR="005858F4" w:rsidRPr="00820F85" w:rsidRDefault="005858F4" w:rsidP="0099334D">
      <w:pPr>
        <w:pStyle w:val="ListParagraph"/>
        <w:numPr>
          <w:ilvl w:val="0"/>
          <w:numId w:val="14"/>
        </w:numPr>
        <w:ind w:left="0" w:hanging="720"/>
        <w:rPr>
          <w:rFonts w:cs="Arial"/>
          <w:bCs/>
          <w:szCs w:val="24"/>
        </w:rPr>
      </w:pPr>
      <w:r w:rsidRPr="00820F85">
        <w:rPr>
          <w:rFonts w:cs="Arial"/>
          <w:bCs/>
          <w:szCs w:val="24"/>
        </w:rPr>
        <w:t>Against this background and the risks within the economic forecast, caution will be adopted in the 202</w:t>
      </w:r>
      <w:r w:rsidR="0069126D">
        <w:rPr>
          <w:rFonts w:cs="Arial"/>
          <w:bCs/>
          <w:szCs w:val="24"/>
        </w:rPr>
        <w:t>4</w:t>
      </w:r>
      <w:r w:rsidRPr="00820F85">
        <w:rPr>
          <w:rFonts w:cs="Arial"/>
          <w:bCs/>
          <w:szCs w:val="24"/>
        </w:rPr>
        <w:t>/2</w:t>
      </w:r>
      <w:r w:rsidR="0069126D">
        <w:rPr>
          <w:rFonts w:cs="Arial"/>
          <w:bCs/>
          <w:szCs w:val="24"/>
        </w:rPr>
        <w:t>5</w:t>
      </w:r>
      <w:r w:rsidRPr="00820F85">
        <w:rPr>
          <w:rFonts w:cs="Arial"/>
          <w:bCs/>
          <w:szCs w:val="24"/>
        </w:rPr>
        <w:t xml:space="preserve"> treasury management operations.  The Treasury Management Group will monitor interest rates in financial markets and adopt a pragmatic approach to changing circumstances. This includes taking advice from Link</w:t>
      </w:r>
      <w:r w:rsidR="00937024" w:rsidRPr="00820F85">
        <w:rPr>
          <w:rFonts w:cs="Arial"/>
          <w:bCs/>
          <w:szCs w:val="24"/>
        </w:rPr>
        <w:t xml:space="preserve"> Group</w:t>
      </w:r>
      <w:r w:rsidRPr="00820F85">
        <w:rPr>
          <w:rFonts w:cs="Arial"/>
          <w:bCs/>
          <w:szCs w:val="24"/>
        </w:rPr>
        <w:t>, the Council’s Treasury Management Advisers</w:t>
      </w:r>
      <w:r w:rsidR="00937024" w:rsidRPr="00820F85">
        <w:rPr>
          <w:rFonts w:cs="Arial"/>
          <w:bCs/>
          <w:szCs w:val="24"/>
        </w:rPr>
        <w:t>.</w:t>
      </w:r>
    </w:p>
    <w:p w14:paraId="02E3639B" w14:textId="77777777" w:rsidR="005858F4" w:rsidRPr="005858F4" w:rsidRDefault="005858F4" w:rsidP="0099334D">
      <w:pPr>
        <w:pStyle w:val="ListParagraph"/>
        <w:tabs>
          <w:tab w:val="left" w:pos="0"/>
        </w:tabs>
        <w:ind w:left="0"/>
        <w:rPr>
          <w:rFonts w:cs="Arial"/>
          <w:szCs w:val="24"/>
          <w:lang w:eastAsia="en-GB"/>
        </w:rPr>
      </w:pPr>
    </w:p>
    <w:p w14:paraId="6870F424" w14:textId="269994D8" w:rsidR="005858F4" w:rsidRPr="00660E5A" w:rsidRDefault="00937024" w:rsidP="0099334D">
      <w:pPr>
        <w:pStyle w:val="ListParagraph"/>
        <w:numPr>
          <w:ilvl w:val="0"/>
          <w:numId w:val="1"/>
        </w:numPr>
        <w:autoSpaceDE w:val="0"/>
        <w:autoSpaceDN w:val="0"/>
        <w:adjustRightInd w:val="0"/>
        <w:ind w:left="284" w:hanging="284"/>
        <w:rPr>
          <w:rFonts w:cs="Arial"/>
          <w:i/>
          <w:iCs/>
          <w:szCs w:val="24"/>
          <w:lang w:eastAsia="en-GB"/>
        </w:rPr>
      </w:pPr>
      <w:r w:rsidRPr="00660E5A">
        <w:rPr>
          <w:rFonts w:cs="Arial"/>
          <w:i/>
          <w:iCs/>
          <w:szCs w:val="24"/>
          <w:lang w:eastAsia="en-GB"/>
        </w:rPr>
        <w:t>I</w:t>
      </w:r>
      <w:r w:rsidR="005858F4" w:rsidRPr="00660E5A">
        <w:rPr>
          <w:rFonts w:cs="Arial"/>
          <w:i/>
          <w:iCs/>
          <w:szCs w:val="24"/>
          <w:lang w:eastAsia="en-GB"/>
        </w:rPr>
        <w:t>f it was felt that there was a significant risk of a sharp FALL in borrowing rates, then borrowing will be postponed.</w:t>
      </w:r>
    </w:p>
    <w:p w14:paraId="50530A2E" w14:textId="77777777" w:rsidR="005858F4" w:rsidRPr="00660E5A" w:rsidRDefault="005858F4" w:rsidP="0099334D">
      <w:pPr>
        <w:pStyle w:val="ListParagraph"/>
        <w:autoSpaceDE w:val="0"/>
        <w:autoSpaceDN w:val="0"/>
        <w:adjustRightInd w:val="0"/>
        <w:ind w:left="284"/>
        <w:rPr>
          <w:rFonts w:cs="Arial"/>
          <w:i/>
          <w:iCs/>
          <w:szCs w:val="24"/>
          <w:lang w:eastAsia="en-GB"/>
        </w:rPr>
      </w:pPr>
    </w:p>
    <w:p w14:paraId="612D882F" w14:textId="77777777" w:rsidR="00B9613E" w:rsidRPr="00B9613E" w:rsidRDefault="00B9613E" w:rsidP="0099334D">
      <w:pPr>
        <w:pStyle w:val="ListParagraph"/>
        <w:numPr>
          <w:ilvl w:val="0"/>
          <w:numId w:val="1"/>
        </w:numPr>
        <w:autoSpaceDE w:val="0"/>
        <w:autoSpaceDN w:val="0"/>
        <w:adjustRightInd w:val="0"/>
        <w:ind w:left="284" w:hanging="284"/>
        <w:rPr>
          <w:rFonts w:cs="Arial"/>
          <w:i/>
          <w:iCs/>
          <w:szCs w:val="24"/>
          <w:lang w:eastAsia="en-GB"/>
        </w:rPr>
      </w:pPr>
      <w:r w:rsidRPr="00B9613E">
        <w:rPr>
          <w:rFonts w:cs="Arial"/>
          <w:i/>
          <w:iCs/>
          <w:szCs w:val="24"/>
          <w:lang w:eastAsia="en-GB"/>
        </w:rPr>
        <w:t>if it was felt that there was a significant risk of a much sharper RISE in borrowing rates than that currently forecast, fixed rate funding will be drawn whilst interest rates are lower than they are projected to be in the next few years.</w:t>
      </w:r>
    </w:p>
    <w:p w14:paraId="38586D64" w14:textId="77777777" w:rsidR="005858F4" w:rsidRPr="005858F4" w:rsidRDefault="005858F4" w:rsidP="0099334D">
      <w:pPr>
        <w:pStyle w:val="ListParagraph"/>
        <w:tabs>
          <w:tab w:val="left" w:pos="0"/>
        </w:tabs>
        <w:ind w:left="0"/>
        <w:rPr>
          <w:rFonts w:cs="Arial"/>
          <w:szCs w:val="24"/>
          <w:lang w:eastAsia="en-GB"/>
        </w:rPr>
      </w:pPr>
    </w:p>
    <w:p w14:paraId="07BBD6B1" w14:textId="7F8A6E64" w:rsidR="005858F4" w:rsidRPr="00820F85" w:rsidRDefault="005858F4" w:rsidP="0099334D">
      <w:pPr>
        <w:pStyle w:val="ListParagraph"/>
        <w:numPr>
          <w:ilvl w:val="0"/>
          <w:numId w:val="14"/>
        </w:numPr>
        <w:ind w:left="0" w:hanging="720"/>
        <w:rPr>
          <w:rFonts w:cs="Arial"/>
          <w:bCs/>
          <w:szCs w:val="24"/>
        </w:rPr>
      </w:pPr>
      <w:r w:rsidRPr="00820F85">
        <w:rPr>
          <w:rFonts w:cs="Arial"/>
          <w:bCs/>
          <w:szCs w:val="24"/>
        </w:rPr>
        <w:t>The Council has previously adopted a single pooled approach for debt.  Allocations to HRA are based on its CFR, with interest charged to HRA at the average rate on all external borrowing.  Longer term, the HRA’s ability to repay borrowing will depend on future revenues and the capital expenditure programme.</w:t>
      </w:r>
    </w:p>
    <w:p w14:paraId="1D43E467" w14:textId="5CE9B0F9" w:rsidR="005858F4" w:rsidRDefault="005858F4" w:rsidP="0099334D">
      <w:pPr>
        <w:pStyle w:val="subhead"/>
        <w:numPr>
          <w:ilvl w:val="0"/>
          <w:numId w:val="0"/>
        </w:numPr>
        <w:ind w:left="360" w:hanging="360"/>
        <w:jc w:val="left"/>
        <w:rPr>
          <w:noProof w:val="0"/>
          <w:sz w:val="24"/>
          <w:szCs w:val="24"/>
        </w:rPr>
      </w:pPr>
      <w:bookmarkStart w:id="8" w:name="_Toc60749553"/>
      <w:r w:rsidRPr="00CD5231">
        <w:rPr>
          <w:noProof w:val="0"/>
          <w:sz w:val="24"/>
          <w:szCs w:val="24"/>
        </w:rPr>
        <w:t>Policy on borrowing in advance of need</w:t>
      </w:r>
      <w:bookmarkEnd w:id="8"/>
      <w:r w:rsidRPr="00CD5231">
        <w:rPr>
          <w:noProof w:val="0"/>
          <w:sz w:val="24"/>
          <w:szCs w:val="24"/>
        </w:rPr>
        <w:t xml:space="preserve"> </w:t>
      </w:r>
    </w:p>
    <w:p w14:paraId="05129CFD" w14:textId="22956906" w:rsidR="005858F4" w:rsidRPr="00820F85" w:rsidRDefault="005858F4" w:rsidP="0099334D">
      <w:pPr>
        <w:pStyle w:val="ListParagraph"/>
        <w:numPr>
          <w:ilvl w:val="0"/>
          <w:numId w:val="14"/>
        </w:numPr>
        <w:ind w:left="0" w:hanging="720"/>
        <w:rPr>
          <w:rFonts w:cs="Arial"/>
          <w:bCs/>
          <w:szCs w:val="24"/>
        </w:rPr>
      </w:pPr>
      <w:r w:rsidRPr="00820F85">
        <w:rPr>
          <w:rFonts w:cs="Arial"/>
          <w:bCs/>
          <w:szCs w:val="24"/>
        </w:rPr>
        <w:t xml:space="preserve">The Council will not borrow more than or in advance of its needs purely </w:t>
      </w:r>
      <w:r w:rsidR="00937024" w:rsidRPr="00820F85">
        <w:rPr>
          <w:rFonts w:cs="Arial"/>
          <w:bCs/>
          <w:szCs w:val="24"/>
        </w:rPr>
        <w:t>to</w:t>
      </w:r>
      <w:r w:rsidRPr="00820F85">
        <w:rPr>
          <w:rFonts w:cs="Arial"/>
          <w:bCs/>
          <w:szCs w:val="24"/>
        </w:rPr>
        <w:t xml:space="preserve"> profit from the investment of the extra sums borrowed. Any decision to borrow in advance will be within forward approved </w:t>
      </w:r>
      <w:r w:rsidR="00462434">
        <w:rPr>
          <w:rFonts w:cs="Arial"/>
          <w:bCs/>
          <w:szCs w:val="24"/>
        </w:rPr>
        <w:t>CFR</w:t>
      </w:r>
      <w:r w:rsidRPr="00820F85">
        <w:rPr>
          <w:rFonts w:cs="Arial"/>
          <w:bCs/>
          <w:szCs w:val="24"/>
        </w:rPr>
        <w:t xml:space="preserve"> estimates and will be considered carefully to ensure that value for money can be demonstrated and that the Council can ensure the security of such funds. </w:t>
      </w:r>
    </w:p>
    <w:p w14:paraId="361D3FCC" w14:textId="77777777" w:rsidR="005858F4" w:rsidRPr="00820F85" w:rsidRDefault="005858F4" w:rsidP="0099334D">
      <w:pPr>
        <w:pStyle w:val="ListParagraph"/>
        <w:ind w:left="0"/>
        <w:rPr>
          <w:rFonts w:cs="Arial"/>
          <w:bCs/>
          <w:szCs w:val="24"/>
        </w:rPr>
      </w:pPr>
    </w:p>
    <w:p w14:paraId="1B253D31" w14:textId="383E2327" w:rsidR="005858F4" w:rsidRPr="00820F85" w:rsidRDefault="005858F4" w:rsidP="0099334D">
      <w:pPr>
        <w:pStyle w:val="ListParagraph"/>
        <w:numPr>
          <w:ilvl w:val="0"/>
          <w:numId w:val="14"/>
        </w:numPr>
        <w:ind w:left="0" w:hanging="720"/>
        <w:rPr>
          <w:rFonts w:cs="Arial"/>
          <w:bCs/>
          <w:szCs w:val="24"/>
        </w:rPr>
      </w:pPr>
      <w:r w:rsidRPr="00820F85">
        <w:rPr>
          <w:rFonts w:cs="Arial"/>
          <w:bCs/>
          <w:szCs w:val="24"/>
        </w:rPr>
        <w:t xml:space="preserve">Risks associated with any borrowing in advance activity will be subject to prior appraisal and subsequent reporting through the mid-year or annual reporting mechanism. </w:t>
      </w:r>
    </w:p>
    <w:p w14:paraId="674CB259" w14:textId="2ACC3362" w:rsidR="005858F4" w:rsidRPr="00CD5231" w:rsidRDefault="005858F4" w:rsidP="0099334D">
      <w:pPr>
        <w:pStyle w:val="subhead"/>
        <w:numPr>
          <w:ilvl w:val="0"/>
          <w:numId w:val="0"/>
        </w:numPr>
        <w:ind w:left="360" w:hanging="360"/>
        <w:jc w:val="left"/>
        <w:rPr>
          <w:noProof w:val="0"/>
          <w:sz w:val="24"/>
          <w:szCs w:val="24"/>
        </w:rPr>
      </w:pPr>
      <w:bookmarkStart w:id="9" w:name="_Toc60749554"/>
      <w:r w:rsidRPr="00CD5231">
        <w:rPr>
          <w:noProof w:val="0"/>
          <w:sz w:val="24"/>
          <w:szCs w:val="24"/>
        </w:rPr>
        <w:t>Debt rescheduling</w:t>
      </w:r>
      <w:bookmarkEnd w:id="9"/>
    </w:p>
    <w:p w14:paraId="7DBDDF9B" w14:textId="559E826F" w:rsidR="00462434" w:rsidRPr="00DC2EF4" w:rsidRDefault="00462434" w:rsidP="0099334D">
      <w:pPr>
        <w:pStyle w:val="ListParagraph"/>
        <w:numPr>
          <w:ilvl w:val="0"/>
          <w:numId w:val="14"/>
        </w:numPr>
        <w:ind w:left="0" w:hanging="720"/>
        <w:rPr>
          <w:rFonts w:cs="Arial"/>
          <w:bCs/>
          <w:szCs w:val="24"/>
        </w:rPr>
      </w:pPr>
      <w:r w:rsidRPr="00DC2EF4">
        <w:rPr>
          <w:rFonts w:cs="Arial"/>
          <w:bCs/>
          <w:szCs w:val="24"/>
        </w:rPr>
        <w:t xml:space="preserve">Rescheduling of current borrowing in </w:t>
      </w:r>
      <w:r w:rsidR="00DF51CA" w:rsidRPr="00DC2EF4">
        <w:rPr>
          <w:rFonts w:cs="Arial"/>
          <w:bCs/>
          <w:szCs w:val="24"/>
        </w:rPr>
        <w:t>the Council’s</w:t>
      </w:r>
      <w:r w:rsidRPr="00DC2EF4">
        <w:rPr>
          <w:rFonts w:cs="Arial"/>
          <w:bCs/>
          <w:szCs w:val="24"/>
        </w:rPr>
        <w:t xml:space="preserve"> debt portfolio may be considered whilst premature redemption rates remain elevated but only if there is surplus cash available to facilitate any repayment, or rebalancing of the portfolio to provide more certainty is considered appropriate. </w:t>
      </w:r>
    </w:p>
    <w:p w14:paraId="783829E0" w14:textId="77777777" w:rsidR="00462434" w:rsidRPr="00462434" w:rsidRDefault="00462434" w:rsidP="0099334D">
      <w:pPr>
        <w:pStyle w:val="ListParagraph"/>
        <w:rPr>
          <w:rFonts w:cs="Arial"/>
          <w:bCs/>
          <w:szCs w:val="24"/>
        </w:rPr>
      </w:pPr>
    </w:p>
    <w:p w14:paraId="7C3829AE" w14:textId="7CC40662" w:rsidR="005858F4" w:rsidRPr="00820F85" w:rsidRDefault="005858F4" w:rsidP="0099334D">
      <w:pPr>
        <w:pStyle w:val="ListParagraph"/>
        <w:numPr>
          <w:ilvl w:val="0"/>
          <w:numId w:val="14"/>
        </w:numPr>
        <w:ind w:left="0" w:hanging="720"/>
        <w:rPr>
          <w:rFonts w:cs="Arial"/>
          <w:bCs/>
          <w:szCs w:val="24"/>
        </w:rPr>
      </w:pPr>
      <w:r w:rsidRPr="00820F85">
        <w:rPr>
          <w:rFonts w:cs="Arial"/>
          <w:bCs/>
          <w:szCs w:val="24"/>
        </w:rPr>
        <w:t xml:space="preserve">Any debt rescheduling opportunities will be reviewed and assessed in respect of </w:t>
      </w:r>
      <w:r w:rsidRPr="00093DF9">
        <w:rPr>
          <w:rFonts w:cs="Arial"/>
          <w:bCs/>
          <w:szCs w:val="24"/>
        </w:rPr>
        <w:t>providing a benefit to the Authority over the remaining life of the loan(s)</w:t>
      </w:r>
      <w:r w:rsidR="00DC2B35" w:rsidRPr="00093DF9">
        <w:rPr>
          <w:rFonts w:cs="Arial"/>
          <w:bCs/>
          <w:szCs w:val="24"/>
        </w:rPr>
        <w:t xml:space="preserve"> and in the context of the Authority’s</w:t>
      </w:r>
      <w:r w:rsidR="00F33853" w:rsidRPr="00093DF9">
        <w:rPr>
          <w:rFonts w:cs="Arial"/>
          <w:bCs/>
          <w:szCs w:val="24"/>
        </w:rPr>
        <w:t xml:space="preserve"> forecast</w:t>
      </w:r>
      <w:r w:rsidR="00DC2B35" w:rsidRPr="00093DF9">
        <w:rPr>
          <w:rFonts w:cs="Arial"/>
          <w:bCs/>
          <w:szCs w:val="24"/>
        </w:rPr>
        <w:t xml:space="preserve"> future borrowing requirement defined by its CFR</w:t>
      </w:r>
      <w:r w:rsidRPr="00093DF9">
        <w:rPr>
          <w:rFonts w:cs="Arial"/>
          <w:bCs/>
          <w:szCs w:val="24"/>
        </w:rPr>
        <w:t>.</w:t>
      </w:r>
      <w:r w:rsidR="00820F85">
        <w:rPr>
          <w:rFonts w:cs="Arial"/>
          <w:bCs/>
          <w:szCs w:val="24"/>
        </w:rPr>
        <w:t xml:space="preserve">  </w:t>
      </w:r>
      <w:r w:rsidRPr="00820F85">
        <w:rPr>
          <w:rFonts w:cs="Arial"/>
          <w:bCs/>
          <w:szCs w:val="24"/>
        </w:rPr>
        <w:t>All rescheduling will be reported to Cabinet at the earliest meeting following the exercise.</w:t>
      </w:r>
    </w:p>
    <w:p w14:paraId="2AB8512B" w14:textId="73969503" w:rsidR="005858F4" w:rsidRPr="00CD5231" w:rsidRDefault="00462434" w:rsidP="00462434">
      <w:pPr>
        <w:pStyle w:val="subhead"/>
        <w:numPr>
          <w:ilvl w:val="0"/>
          <w:numId w:val="0"/>
        </w:numPr>
        <w:rPr>
          <w:noProof w:val="0"/>
          <w:sz w:val="24"/>
          <w:szCs w:val="24"/>
        </w:rPr>
      </w:pPr>
      <w:r>
        <w:rPr>
          <w:noProof w:val="0"/>
          <w:sz w:val="24"/>
          <w:szCs w:val="24"/>
        </w:rPr>
        <w:t>A</w:t>
      </w:r>
      <w:r w:rsidR="005858F4" w:rsidRPr="00CD5231">
        <w:rPr>
          <w:noProof w:val="0"/>
          <w:sz w:val="24"/>
          <w:szCs w:val="24"/>
        </w:rPr>
        <w:t xml:space="preserve">pproved Sources of </w:t>
      </w:r>
      <w:proofErr w:type="gramStart"/>
      <w:r w:rsidR="005858F4" w:rsidRPr="00CD5231">
        <w:rPr>
          <w:noProof w:val="0"/>
          <w:sz w:val="24"/>
          <w:szCs w:val="24"/>
        </w:rPr>
        <w:t>Long and Short term</w:t>
      </w:r>
      <w:proofErr w:type="gramEnd"/>
      <w:r w:rsidR="005858F4" w:rsidRPr="00CD5231">
        <w:rPr>
          <w:noProof w:val="0"/>
          <w:sz w:val="24"/>
          <w:szCs w:val="24"/>
        </w:rPr>
        <w:t xml:space="preserve"> Borrowing</w:t>
      </w:r>
    </w:p>
    <w:p w14:paraId="7C0EB5C2" w14:textId="77777777" w:rsidR="005858F4" w:rsidRPr="00A75E24" w:rsidRDefault="005858F4" w:rsidP="005858F4">
      <w:pPr>
        <w:tabs>
          <w:tab w:val="left" w:pos="360"/>
          <w:tab w:val="center" w:pos="6379"/>
          <w:tab w:val="center" w:pos="7797"/>
          <w:tab w:val="center" w:pos="8280"/>
          <w:tab w:val="center" w:pos="9360"/>
        </w:tabs>
        <w:jc w:val="both"/>
        <w:rPr>
          <w:rFonts w:cs="Arial"/>
          <w:color w:val="0D0D0D" w:themeColor="text1" w:themeTint="F2"/>
          <w:sz w:val="22"/>
          <w:szCs w:val="22"/>
        </w:rPr>
      </w:pPr>
      <w:r w:rsidRPr="00A75E24">
        <w:rPr>
          <w:rFonts w:cs="Arial"/>
          <w:b/>
          <w:color w:val="0D0D0D" w:themeColor="text1" w:themeTint="F2"/>
          <w:sz w:val="22"/>
          <w:szCs w:val="22"/>
        </w:rPr>
        <w:t>On Balance Sheet</w:t>
      </w:r>
      <w:r w:rsidRPr="00A75E24">
        <w:rPr>
          <w:rFonts w:cs="Arial"/>
          <w:color w:val="0D0D0D" w:themeColor="text1" w:themeTint="F2"/>
          <w:sz w:val="22"/>
          <w:szCs w:val="22"/>
        </w:rPr>
        <w:tab/>
      </w:r>
      <w:r w:rsidRPr="00A75E24">
        <w:rPr>
          <w:rFonts w:cs="Arial"/>
          <w:b/>
          <w:color w:val="0D0D0D" w:themeColor="text1" w:themeTint="F2"/>
          <w:sz w:val="22"/>
          <w:szCs w:val="22"/>
        </w:rPr>
        <w:t>Fixed</w:t>
      </w:r>
      <w:r w:rsidRPr="00A75E24">
        <w:rPr>
          <w:rFonts w:cs="Arial"/>
          <w:b/>
          <w:color w:val="0D0D0D" w:themeColor="text1" w:themeTint="F2"/>
          <w:sz w:val="22"/>
          <w:szCs w:val="22"/>
        </w:rPr>
        <w:tab/>
        <w:t xml:space="preserve">Variable </w:t>
      </w:r>
      <w:r w:rsidRPr="00A75E24">
        <w:rPr>
          <w:rFonts w:cs="Arial"/>
          <w:b/>
          <w:color w:val="0D0D0D" w:themeColor="text1" w:themeTint="F2"/>
          <w:sz w:val="22"/>
          <w:szCs w:val="22"/>
        </w:rPr>
        <w:tab/>
      </w:r>
      <w:r w:rsidRPr="00A75E24">
        <w:rPr>
          <w:rFonts w:cs="Arial"/>
          <w:b/>
          <w:color w:val="0D0D0D" w:themeColor="text1" w:themeTint="F2"/>
          <w:sz w:val="22"/>
          <w:szCs w:val="22"/>
        </w:rPr>
        <w:tab/>
      </w:r>
    </w:p>
    <w:p w14:paraId="5B5FDD32" w14:textId="77777777" w:rsidR="005858F4" w:rsidRPr="00A75E24" w:rsidRDefault="005858F4" w:rsidP="005858F4">
      <w:pPr>
        <w:tabs>
          <w:tab w:val="right" w:pos="6480"/>
          <w:tab w:val="right" w:pos="7920"/>
        </w:tabs>
        <w:spacing w:before="15" w:after="15"/>
        <w:jc w:val="both"/>
        <w:rPr>
          <w:rFonts w:cs="Arial"/>
          <w:color w:val="0D0D0D" w:themeColor="text1" w:themeTint="F2"/>
          <w:sz w:val="22"/>
          <w:szCs w:val="22"/>
        </w:rPr>
      </w:pPr>
      <w:r w:rsidRPr="00A75E24">
        <w:rPr>
          <w:rFonts w:cs="Arial"/>
          <w:color w:val="0D0D0D" w:themeColor="text1" w:themeTint="F2"/>
          <w:sz w:val="22"/>
          <w:szCs w:val="22"/>
        </w:rPr>
        <w:t>PWLB</w:t>
      </w:r>
      <w:r w:rsidRPr="00A75E24">
        <w:rPr>
          <w:rFonts w:cs="Arial"/>
          <w:color w:val="0D0D0D" w:themeColor="text1" w:themeTint="F2"/>
          <w:sz w:val="22"/>
          <w:szCs w:val="22"/>
        </w:rPr>
        <w:tab/>
      </w:r>
      <w:r w:rsidRPr="00A75E24">
        <w:rPr>
          <w:rFonts w:cs="Arial"/>
          <w:color w:val="0D0D0D" w:themeColor="text1" w:themeTint="F2"/>
          <w:sz w:val="22"/>
          <w:szCs w:val="22"/>
        </w:rPr>
        <w:fldChar w:fldCharType="begin"/>
      </w:r>
      <w:r w:rsidRPr="00A75E24">
        <w:rPr>
          <w:rFonts w:cs="Arial"/>
          <w:color w:val="0D0D0D" w:themeColor="text1" w:themeTint="F2"/>
          <w:sz w:val="22"/>
          <w:szCs w:val="22"/>
        </w:rPr>
        <w:instrText>SYMBOL 183 \f "Symbol" \s 18 \h</w:instrText>
      </w:r>
      <w:r w:rsidRPr="00A75E24">
        <w:rPr>
          <w:rFonts w:cs="Arial"/>
          <w:color w:val="0D0D0D" w:themeColor="text1" w:themeTint="F2"/>
          <w:sz w:val="22"/>
          <w:szCs w:val="22"/>
        </w:rPr>
        <w:fldChar w:fldCharType="end"/>
      </w:r>
      <w:r w:rsidRPr="00A75E24">
        <w:rPr>
          <w:rFonts w:cs="Arial"/>
          <w:color w:val="0D0D0D" w:themeColor="text1" w:themeTint="F2"/>
          <w:sz w:val="22"/>
          <w:szCs w:val="22"/>
        </w:rPr>
        <w:tab/>
      </w:r>
      <w:r w:rsidRPr="00A75E24">
        <w:rPr>
          <w:rFonts w:cs="Arial"/>
          <w:color w:val="0D0D0D" w:themeColor="text1" w:themeTint="F2"/>
          <w:sz w:val="22"/>
          <w:szCs w:val="22"/>
        </w:rPr>
        <w:fldChar w:fldCharType="begin"/>
      </w:r>
      <w:r w:rsidRPr="00A75E24">
        <w:rPr>
          <w:rFonts w:cs="Arial"/>
          <w:color w:val="0D0D0D" w:themeColor="text1" w:themeTint="F2"/>
          <w:sz w:val="22"/>
          <w:szCs w:val="22"/>
        </w:rPr>
        <w:instrText>SYMBOL 183 \f "Symbol" \s 18 \h</w:instrText>
      </w:r>
      <w:r w:rsidRPr="00A75E24">
        <w:rPr>
          <w:rFonts w:cs="Arial"/>
          <w:color w:val="0D0D0D" w:themeColor="text1" w:themeTint="F2"/>
          <w:sz w:val="22"/>
          <w:szCs w:val="22"/>
        </w:rPr>
        <w:fldChar w:fldCharType="end"/>
      </w:r>
    </w:p>
    <w:p w14:paraId="07B59B9D" w14:textId="77777777" w:rsidR="005858F4" w:rsidRPr="00A75E24" w:rsidRDefault="005858F4" w:rsidP="005858F4">
      <w:pPr>
        <w:tabs>
          <w:tab w:val="right" w:pos="6480"/>
          <w:tab w:val="right" w:pos="7920"/>
        </w:tabs>
        <w:spacing w:before="15" w:after="15"/>
        <w:jc w:val="both"/>
        <w:rPr>
          <w:rFonts w:cs="Arial"/>
          <w:color w:val="0D0D0D" w:themeColor="text1" w:themeTint="F2"/>
          <w:sz w:val="22"/>
          <w:szCs w:val="22"/>
        </w:rPr>
      </w:pPr>
      <w:r>
        <w:rPr>
          <w:rFonts w:cs="Arial"/>
          <w:color w:val="0D0D0D" w:themeColor="text1" w:themeTint="F2"/>
          <w:sz w:val="22"/>
          <w:szCs w:val="22"/>
        </w:rPr>
        <w:t xml:space="preserve">Municipal bond agency </w:t>
      </w:r>
      <w:r w:rsidRPr="00A75E24">
        <w:rPr>
          <w:rFonts w:cs="Arial"/>
          <w:color w:val="0D0D0D" w:themeColor="text1" w:themeTint="F2"/>
          <w:sz w:val="22"/>
          <w:szCs w:val="22"/>
        </w:rPr>
        <w:tab/>
      </w:r>
      <w:r w:rsidRPr="00A75E24">
        <w:rPr>
          <w:rFonts w:cs="Arial"/>
          <w:color w:val="0D0D0D" w:themeColor="text1" w:themeTint="F2"/>
          <w:sz w:val="22"/>
          <w:szCs w:val="22"/>
        </w:rPr>
        <w:fldChar w:fldCharType="begin"/>
      </w:r>
      <w:r w:rsidRPr="00A75E24">
        <w:rPr>
          <w:rFonts w:cs="Arial"/>
          <w:color w:val="0D0D0D" w:themeColor="text1" w:themeTint="F2"/>
          <w:sz w:val="22"/>
          <w:szCs w:val="22"/>
        </w:rPr>
        <w:instrText>SYMBOL 183 \f "Symbol" \s 18 \h</w:instrText>
      </w:r>
      <w:r w:rsidRPr="00A75E24">
        <w:rPr>
          <w:rFonts w:cs="Arial"/>
          <w:color w:val="0D0D0D" w:themeColor="text1" w:themeTint="F2"/>
          <w:sz w:val="22"/>
          <w:szCs w:val="22"/>
        </w:rPr>
        <w:fldChar w:fldCharType="end"/>
      </w:r>
      <w:r w:rsidRPr="00A75E24">
        <w:rPr>
          <w:rFonts w:cs="Arial"/>
          <w:color w:val="0D0D0D" w:themeColor="text1" w:themeTint="F2"/>
          <w:sz w:val="22"/>
          <w:szCs w:val="22"/>
        </w:rPr>
        <w:tab/>
      </w:r>
      <w:r w:rsidRPr="00A75E24">
        <w:rPr>
          <w:rFonts w:cs="Arial"/>
          <w:color w:val="0D0D0D" w:themeColor="text1" w:themeTint="F2"/>
          <w:sz w:val="22"/>
          <w:szCs w:val="22"/>
        </w:rPr>
        <w:fldChar w:fldCharType="begin"/>
      </w:r>
      <w:r w:rsidRPr="00A75E24">
        <w:rPr>
          <w:rFonts w:cs="Arial"/>
          <w:color w:val="0D0D0D" w:themeColor="text1" w:themeTint="F2"/>
          <w:sz w:val="22"/>
          <w:szCs w:val="22"/>
        </w:rPr>
        <w:instrText>SYMBOL 183 \f "Symbol" \s 18 \h</w:instrText>
      </w:r>
      <w:r w:rsidRPr="00A75E24">
        <w:rPr>
          <w:rFonts w:cs="Arial"/>
          <w:color w:val="0D0D0D" w:themeColor="text1" w:themeTint="F2"/>
          <w:sz w:val="22"/>
          <w:szCs w:val="22"/>
        </w:rPr>
        <w:fldChar w:fldCharType="end"/>
      </w:r>
    </w:p>
    <w:p w14:paraId="5D1F7E58" w14:textId="77777777" w:rsidR="005858F4" w:rsidRPr="00A75E24" w:rsidRDefault="005858F4" w:rsidP="005858F4">
      <w:pPr>
        <w:tabs>
          <w:tab w:val="right" w:pos="6480"/>
          <w:tab w:val="right" w:pos="7920"/>
        </w:tabs>
        <w:spacing w:before="15" w:after="15"/>
        <w:jc w:val="both"/>
        <w:rPr>
          <w:rFonts w:cs="Arial"/>
          <w:color w:val="0D0D0D" w:themeColor="text1" w:themeTint="F2"/>
          <w:sz w:val="22"/>
          <w:szCs w:val="22"/>
        </w:rPr>
      </w:pPr>
      <w:r w:rsidRPr="00A75E24">
        <w:rPr>
          <w:rFonts w:cs="Arial"/>
          <w:color w:val="0D0D0D" w:themeColor="text1" w:themeTint="F2"/>
          <w:sz w:val="22"/>
          <w:szCs w:val="22"/>
        </w:rPr>
        <w:t>Local authorities</w:t>
      </w:r>
      <w:r w:rsidRPr="00A75E24">
        <w:rPr>
          <w:rFonts w:cs="Arial"/>
          <w:color w:val="0D0D0D" w:themeColor="text1" w:themeTint="F2"/>
          <w:sz w:val="22"/>
          <w:szCs w:val="22"/>
        </w:rPr>
        <w:tab/>
      </w:r>
      <w:r w:rsidRPr="00A75E24">
        <w:rPr>
          <w:rFonts w:cs="Arial"/>
          <w:color w:val="0D0D0D" w:themeColor="text1" w:themeTint="F2"/>
          <w:sz w:val="22"/>
          <w:szCs w:val="22"/>
        </w:rPr>
        <w:fldChar w:fldCharType="begin"/>
      </w:r>
      <w:r w:rsidRPr="00A75E24">
        <w:rPr>
          <w:rFonts w:cs="Arial"/>
          <w:color w:val="0D0D0D" w:themeColor="text1" w:themeTint="F2"/>
          <w:sz w:val="22"/>
          <w:szCs w:val="22"/>
        </w:rPr>
        <w:instrText>SYMBOL 183 \f "Symbol" \s 18 \h</w:instrText>
      </w:r>
      <w:r w:rsidRPr="00A75E24">
        <w:rPr>
          <w:rFonts w:cs="Arial"/>
          <w:color w:val="0D0D0D" w:themeColor="text1" w:themeTint="F2"/>
          <w:sz w:val="22"/>
          <w:szCs w:val="22"/>
        </w:rPr>
        <w:fldChar w:fldCharType="end"/>
      </w:r>
      <w:r w:rsidRPr="00A75E24">
        <w:rPr>
          <w:rFonts w:cs="Arial"/>
          <w:color w:val="0D0D0D" w:themeColor="text1" w:themeTint="F2"/>
          <w:sz w:val="22"/>
          <w:szCs w:val="22"/>
        </w:rPr>
        <w:tab/>
      </w:r>
      <w:r w:rsidRPr="00A75E24">
        <w:rPr>
          <w:rFonts w:cs="Arial"/>
          <w:color w:val="0D0D0D" w:themeColor="text1" w:themeTint="F2"/>
          <w:sz w:val="22"/>
          <w:szCs w:val="22"/>
        </w:rPr>
        <w:fldChar w:fldCharType="begin"/>
      </w:r>
      <w:r w:rsidRPr="00A75E24">
        <w:rPr>
          <w:rFonts w:cs="Arial"/>
          <w:color w:val="0D0D0D" w:themeColor="text1" w:themeTint="F2"/>
          <w:sz w:val="22"/>
          <w:szCs w:val="22"/>
        </w:rPr>
        <w:instrText>SYMBOL 183 \f "Symbol" \s 18 \h</w:instrText>
      </w:r>
      <w:r w:rsidRPr="00A75E24">
        <w:rPr>
          <w:rFonts w:cs="Arial"/>
          <w:color w:val="0D0D0D" w:themeColor="text1" w:themeTint="F2"/>
          <w:sz w:val="22"/>
          <w:szCs w:val="22"/>
        </w:rPr>
        <w:fldChar w:fldCharType="end"/>
      </w:r>
    </w:p>
    <w:p w14:paraId="1C3EEB89" w14:textId="77777777" w:rsidR="005858F4" w:rsidRDefault="005858F4" w:rsidP="005858F4">
      <w:pPr>
        <w:tabs>
          <w:tab w:val="right" w:pos="6480"/>
          <w:tab w:val="right" w:pos="7920"/>
        </w:tabs>
        <w:spacing w:before="15" w:after="15"/>
        <w:jc w:val="both"/>
        <w:rPr>
          <w:rFonts w:cs="Arial"/>
          <w:color w:val="0D0D0D" w:themeColor="text1" w:themeTint="F2"/>
          <w:sz w:val="22"/>
          <w:szCs w:val="22"/>
        </w:rPr>
      </w:pPr>
      <w:r>
        <w:rPr>
          <w:rFonts w:cs="Arial"/>
          <w:color w:val="0D0D0D" w:themeColor="text1" w:themeTint="F2"/>
          <w:sz w:val="22"/>
          <w:szCs w:val="22"/>
        </w:rPr>
        <w:t>Banks</w:t>
      </w:r>
      <w:r>
        <w:rPr>
          <w:rFonts w:cs="Arial"/>
          <w:color w:val="0D0D0D" w:themeColor="text1" w:themeTint="F2"/>
          <w:sz w:val="22"/>
          <w:szCs w:val="22"/>
        </w:rPr>
        <w:tab/>
      </w:r>
      <w:r w:rsidRPr="00A75E24">
        <w:rPr>
          <w:rFonts w:cs="Arial"/>
          <w:color w:val="0D0D0D" w:themeColor="text1" w:themeTint="F2"/>
          <w:sz w:val="22"/>
          <w:szCs w:val="22"/>
        </w:rPr>
        <w:fldChar w:fldCharType="begin"/>
      </w:r>
      <w:r w:rsidRPr="00A75E24">
        <w:rPr>
          <w:rFonts w:cs="Arial"/>
          <w:color w:val="0D0D0D" w:themeColor="text1" w:themeTint="F2"/>
          <w:sz w:val="22"/>
          <w:szCs w:val="22"/>
        </w:rPr>
        <w:instrText>SYMBOL 183 \f "Symbol" \s 18 \h</w:instrText>
      </w:r>
      <w:r w:rsidRPr="00A75E24">
        <w:rPr>
          <w:rFonts w:cs="Arial"/>
          <w:color w:val="0D0D0D" w:themeColor="text1" w:themeTint="F2"/>
          <w:sz w:val="22"/>
          <w:szCs w:val="22"/>
        </w:rPr>
        <w:fldChar w:fldCharType="end"/>
      </w:r>
      <w:r w:rsidRPr="00A75E24">
        <w:rPr>
          <w:rFonts w:cs="Arial"/>
          <w:color w:val="0D0D0D" w:themeColor="text1" w:themeTint="F2"/>
          <w:sz w:val="22"/>
          <w:szCs w:val="22"/>
        </w:rPr>
        <w:tab/>
      </w:r>
      <w:r w:rsidRPr="00A75E24">
        <w:rPr>
          <w:rFonts w:cs="Arial"/>
          <w:color w:val="0D0D0D" w:themeColor="text1" w:themeTint="F2"/>
          <w:sz w:val="22"/>
          <w:szCs w:val="22"/>
        </w:rPr>
        <w:fldChar w:fldCharType="begin"/>
      </w:r>
      <w:r w:rsidRPr="00A75E24">
        <w:rPr>
          <w:rFonts w:cs="Arial"/>
          <w:color w:val="0D0D0D" w:themeColor="text1" w:themeTint="F2"/>
          <w:sz w:val="22"/>
          <w:szCs w:val="22"/>
        </w:rPr>
        <w:instrText>SYMBOL 183 \f "Symbol" \s 18 \h</w:instrText>
      </w:r>
      <w:r w:rsidRPr="00A75E24">
        <w:rPr>
          <w:rFonts w:cs="Arial"/>
          <w:color w:val="0D0D0D" w:themeColor="text1" w:themeTint="F2"/>
          <w:sz w:val="22"/>
          <w:szCs w:val="22"/>
        </w:rPr>
        <w:fldChar w:fldCharType="end"/>
      </w:r>
    </w:p>
    <w:p w14:paraId="34DE9A06" w14:textId="77777777" w:rsidR="005858F4" w:rsidRPr="00A75E24" w:rsidRDefault="005858F4" w:rsidP="005858F4">
      <w:pPr>
        <w:tabs>
          <w:tab w:val="right" w:pos="6480"/>
          <w:tab w:val="right" w:pos="7920"/>
        </w:tabs>
        <w:spacing w:before="15" w:after="15"/>
        <w:jc w:val="both"/>
        <w:rPr>
          <w:rFonts w:cs="Arial"/>
          <w:color w:val="0D0D0D" w:themeColor="text1" w:themeTint="F2"/>
          <w:sz w:val="22"/>
          <w:szCs w:val="22"/>
        </w:rPr>
      </w:pPr>
      <w:r w:rsidRPr="00A75E24">
        <w:rPr>
          <w:rFonts w:cs="Arial"/>
          <w:color w:val="0D0D0D" w:themeColor="text1" w:themeTint="F2"/>
          <w:sz w:val="22"/>
          <w:szCs w:val="22"/>
        </w:rPr>
        <w:t>Pension funds</w:t>
      </w:r>
      <w:r w:rsidRPr="00A75E24">
        <w:rPr>
          <w:rFonts w:cs="Arial"/>
          <w:color w:val="0D0D0D" w:themeColor="text1" w:themeTint="F2"/>
          <w:sz w:val="22"/>
          <w:szCs w:val="22"/>
        </w:rPr>
        <w:tab/>
      </w:r>
      <w:r w:rsidRPr="00A75E24">
        <w:rPr>
          <w:rFonts w:cs="Arial"/>
          <w:color w:val="0D0D0D" w:themeColor="text1" w:themeTint="F2"/>
          <w:sz w:val="22"/>
          <w:szCs w:val="22"/>
        </w:rPr>
        <w:fldChar w:fldCharType="begin"/>
      </w:r>
      <w:r w:rsidRPr="00A75E24">
        <w:rPr>
          <w:rFonts w:cs="Arial"/>
          <w:color w:val="0D0D0D" w:themeColor="text1" w:themeTint="F2"/>
          <w:sz w:val="22"/>
          <w:szCs w:val="22"/>
        </w:rPr>
        <w:instrText>SYMBOL 183 \f "Symbol" \s 18 \h</w:instrText>
      </w:r>
      <w:r w:rsidRPr="00A75E24">
        <w:rPr>
          <w:rFonts w:cs="Arial"/>
          <w:color w:val="0D0D0D" w:themeColor="text1" w:themeTint="F2"/>
          <w:sz w:val="22"/>
          <w:szCs w:val="22"/>
        </w:rPr>
        <w:fldChar w:fldCharType="end"/>
      </w:r>
      <w:r w:rsidRPr="00A75E24">
        <w:rPr>
          <w:rFonts w:cs="Arial"/>
          <w:color w:val="0D0D0D" w:themeColor="text1" w:themeTint="F2"/>
          <w:sz w:val="22"/>
          <w:szCs w:val="22"/>
        </w:rPr>
        <w:tab/>
      </w:r>
      <w:r w:rsidRPr="00A75E24">
        <w:rPr>
          <w:rFonts w:cs="Arial"/>
          <w:color w:val="0D0D0D" w:themeColor="text1" w:themeTint="F2"/>
          <w:sz w:val="22"/>
          <w:szCs w:val="22"/>
        </w:rPr>
        <w:fldChar w:fldCharType="begin"/>
      </w:r>
      <w:r w:rsidRPr="00A75E24">
        <w:rPr>
          <w:rFonts w:cs="Arial"/>
          <w:color w:val="0D0D0D" w:themeColor="text1" w:themeTint="F2"/>
          <w:sz w:val="22"/>
          <w:szCs w:val="22"/>
        </w:rPr>
        <w:instrText>SYMBOL 183 \f "Symbol" \s 18 \h</w:instrText>
      </w:r>
      <w:r w:rsidRPr="00A75E24">
        <w:rPr>
          <w:rFonts w:cs="Arial"/>
          <w:color w:val="0D0D0D" w:themeColor="text1" w:themeTint="F2"/>
          <w:sz w:val="22"/>
          <w:szCs w:val="22"/>
        </w:rPr>
        <w:fldChar w:fldCharType="end"/>
      </w:r>
    </w:p>
    <w:p w14:paraId="1E053191" w14:textId="77777777" w:rsidR="00937024" w:rsidRPr="00D07ABD" w:rsidRDefault="005858F4" w:rsidP="00937024">
      <w:pPr>
        <w:tabs>
          <w:tab w:val="right" w:pos="6480"/>
          <w:tab w:val="right" w:pos="7920"/>
        </w:tabs>
        <w:spacing w:before="15" w:after="15"/>
        <w:jc w:val="both"/>
        <w:rPr>
          <w:rFonts w:cs="Arial"/>
          <w:color w:val="0D0D0D" w:themeColor="text1" w:themeTint="F2"/>
          <w:sz w:val="22"/>
          <w:szCs w:val="22"/>
        </w:rPr>
      </w:pPr>
      <w:r>
        <w:rPr>
          <w:rFonts w:cs="Arial"/>
          <w:color w:val="0D0D0D" w:themeColor="text1" w:themeTint="F2"/>
          <w:sz w:val="22"/>
          <w:szCs w:val="22"/>
        </w:rPr>
        <w:t>Insurance companies</w:t>
      </w:r>
      <w:r w:rsidR="00937024">
        <w:rPr>
          <w:rFonts w:cs="Arial"/>
          <w:color w:val="0D0D0D" w:themeColor="text1" w:themeTint="F2"/>
          <w:sz w:val="22"/>
          <w:szCs w:val="22"/>
        </w:rPr>
        <w:tab/>
      </w:r>
      <w:r w:rsidR="00937024" w:rsidRPr="00D07ABD">
        <w:rPr>
          <w:rFonts w:cs="Arial"/>
          <w:color w:val="0D0D0D" w:themeColor="text1" w:themeTint="F2"/>
          <w:sz w:val="22"/>
          <w:szCs w:val="22"/>
        </w:rPr>
        <w:fldChar w:fldCharType="begin"/>
      </w:r>
      <w:r w:rsidR="00937024" w:rsidRPr="00D07ABD">
        <w:rPr>
          <w:rFonts w:cs="Arial"/>
          <w:color w:val="0D0D0D" w:themeColor="text1" w:themeTint="F2"/>
          <w:sz w:val="22"/>
          <w:szCs w:val="22"/>
        </w:rPr>
        <w:instrText>SYMBOL 183 \f "Symbol" \s 18 \h</w:instrText>
      </w:r>
      <w:r w:rsidR="00937024" w:rsidRPr="00D07ABD">
        <w:rPr>
          <w:rFonts w:cs="Arial"/>
          <w:color w:val="0D0D0D" w:themeColor="text1" w:themeTint="F2"/>
          <w:sz w:val="22"/>
          <w:szCs w:val="22"/>
        </w:rPr>
        <w:fldChar w:fldCharType="end"/>
      </w:r>
      <w:r w:rsidR="00937024" w:rsidRPr="00D07ABD">
        <w:rPr>
          <w:rFonts w:cs="Arial"/>
          <w:color w:val="0D0D0D" w:themeColor="text1" w:themeTint="F2"/>
          <w:sz w:val="22"/>
          <w:szCs w:val="22"/>
        </w:rPr>
        <w:tab/>
      </w:r>
      <w:r w:rsidR="00937024" w:rsidRPr="00D07ABD">
        <w:rPr>
          <w:rFonts w:cs="Arial"/>
          <w:color w:val="0D0D0D" w:themeColor="text1" w:themeTint="F2"/>
          <w:sz w:val="22"/>
          <w:szCs w:val="22"/>
        </w:rPr>
        <w:fldChar w:fldCharType="begin"/>
      </w:r>
      <w:r w:rsidR="00937024" w:rsidRPr="00D07ABD">
        <w:rPr>
          <w:rFonts w:cs="Arial"/>
          <w:color w:val="0D0D0D" w:themeColor="text1" w:themeTint="F2"/>
          <w:sz w:val="22"/>
          <w:szCs w:val="22"/>
        </w:rPr>
        <w:instrText>SYMBOL 183 \f "Symbol" \s 18 \h</w:instrText>
      </w:r>
      <w:r w:rsidR="00937024" w:rsidRPr="00D07ABD">
        <w:rPr>
          <w:rFonts w:cs="Arial"/>
          <w:color w:val="0D0D0D" w:themeColor="text1" w:themeTint="F2"/>
          <w:sz w:val="22"/>
          <w:szCs w:val="22"/>
        </w:rPr>
        <w:fldChar w:fldCharType="end"/>
      </w:r>
    </w:p>
    <w:p w14:paraId="5AC794F2" w14:textId="43C36964" w:rsidR="005858F4" w:rsidRDefault="00937024" w:rsidP="005858F4">
      <w:pPr>
        <w:tabs>
          <w:tab w:val="right" w:pos="6480"/>
          <w:tab w:val="right" w:pos="7920"/>
        </w:tabs>
        <w:spacing w:before="15" w:after="15"/>
        <w:jc w:val="both"/>
        <w:rPr>
          <w:rFonts w:cs="Arial"/>
          <w:color w:val="0D0D0D" w:themeColor="text1" w:themeTint="F2"/>
          <w:sz w:val="22"/>
          <w:szCs w:val="22"/>
        </w:rPr>
      </w:pPr>
      <w:r>
        <w:rPr>
          <w:rFonts w:cs="Arial"/>
          <w:color w:val="0D0D0D" w:themeColor="text1" w:themeTint="F2"/>
          <w:sz w:val="22"/>
          <w:szCs w:val="22"/>
        </w:rPr>
        <w:t>UK Infrastructure Bank</w:t>
      </w:r>
      <w:r w:rsidR="005858F4">
        <w:rPr>
          <w:rFonts w:cs="Arial"/>
          <w:color w:val="0D0D0D" w:themeColor="text1" w:themeTint="F2"/>
          <w:sz w:val="22"/>
          <w:szCs w:val="22"/>
        </w:rPr>
        <w:tab/>
      </w:r>
      <w:r w:rsidR="005858F4" w:rsidRPr="00A75E24">
        <w:rPr>
          <w:rFonts w:cs="Arial"/>
          <w:color w:val="0D0D0D" w:themeColor="text1" w:themeTint="F2"/>
          <w:sz w:val="22"/>
          <w:szCs w:val="22"/>
        </w:rPr>
        <w:fldChar w:fldCharType="begin"/>
      </w:r>
      <w:r w:rsidR="005858F4" w:rsidRPr="00A75E24">
        <w:rPr>
          <w:rFonts w:cs="Arial"/>
          <w:color w:val="0D0D0D" w:themeColor="text1" w:themeTint="F2"/>
          <w:sz w:val="22"/>
          <w:szCs w:val="22"/>
        </w:rPr>
        <w:instrText>SYMBOL 183 \f "Symbol" \s 18 \h</w:instrText>
      </w:r>
      <w:r w:rsidR="005858F4" w:rsidRPr="00A75E24">
        <w:rPr>
          <w:rFonts w:cs="Arial"/>
          <w:color w:val="0D0D0D" w:themeColor="text1" w:themeTint="F2"/>
          <w:sz w:val="22"/>
          <w:szCs w:val="22"/>
        </w:rPr>
        <w:fldChar w:fldCharType="end"/>
      </w:r>
      <w:r w:rsidR="005858F4" w:rsidRPr="00A75E24">
        <w:rPr>
          <w:rFonts w:cs="Arial"/>
          <w:color w:val="0D0D0D" w:themeColor="text1" w:themeTint="F2"/>
          <w:sz w:val="22"/>
          <w:szCs w:val="22"/>
        </w:rPr>
        <w:tab/>
      </w:r>
      <w:r w:rsidR="005858F4" w:rsidRPr="00A75E24">
        <w:rPr>
          <w:rFonts w:cs="Arial"/>
          <w:color w:val="0D0D0D" w:themeColor="text1" w:themeTint="F2"/>
          <w:sz w:val="22"/>
          <w:szCs w:val="22"/>
        </w:rPr>
        <w:fldChar w:fldCharType="begin"/>
      </w:r>
      <w:r w:rsidR="005858F4" w:rsidRPr="00A75E24">
        <w:rPr>
          <w:rFonts w:cs="Arial"/>
          <w:color w:val="0D0D0D" w:themeColor="text1" w:themeTint="F2"/>
          <w:sz w:val="22"/>
          <w:szCs w:val="22"/>
        </w:rPr>
        <w:instrText>SYMBOL 183 \f "Symbol" \s 18 \h</w:instrText>
      </w:r>
      <w:r w:rsidR="005858F4" w:rsidRPr="00A75E24">
        <w:rPr>
          <w:rFonts w:cs="Arial"/>
          <w:color w:val="0D0D0D" w:themeColor="text1" w:themeTint="F2"/>
          <w:sz w:val="22"/>
          <w:szCs w:val="22"/>
        </w:rPr>
        <w:fldChar w:fldCharType="end"/>
      </w:r>
    </w:p>
    <w:p w14:paraId="35A9EDAB" w14:textId="77777777" w:rsidR="005858F4" w:rsidRPr="00A75E24" w:rsidRDefault="005858F4" w:rsidP="005858F4">
      <w:pPr>
        <w:tabs>
          <w:tab w:val="right" w:pos="6480"/>
          <w:tab w:val="right" w:pos="7920"/>
        </w:tabs>
        <w:spacing w:before="15" w:after="15"/>
        <w:jc w:val="both"/>
        <w:rPr>
          <w:rFonts w:cs="Arial"/>
          <w:color w:val="0D0D0D" w:themeColor="text1" w:themeTint="F2"/>
          <w:sz w:val="22"/>
          <w:szCs w:val="22"/>
        </w:rPr>
      </w:pPr>
    </w:p>
    <w:p w14:paraId="530F8639" w14:textId="77777777" w:rsidR="005858F4" w:rsidRPr="00A75E24" w:rsidRDefault="005858F4" w:rsidP="005858F4">
      <w:pPr>
        <w:tabs>
          <w:tab w:val="right" w:pos="6480"/>
          <w:tab w:val="right" w:pos="7920"/>
        </w:tabs>
        <w:spacing w:before="15" w:after="15"/>
        <w:jc w:val="both"/>
        <w:rPr>
          <w:rFonts w:cs="Arial"/>
          <w:color w:val="0D0D0D" w:themeColor="text1" w:themeTint="F2"/>
          <w:sz w:val="22"/>
          <w:szCs w:val="22"/>
        </w:rPr>
      </w:pPr>
      <w:r w:rsidRPr="00A75E24">
        <w:rPr>
          <w:rFonts w:cs="Arial"/>
          <w:color w:val="0D0D0D" w:themeColor="text1" w:themeTint="F2"/>
          <w:sz w:val="22"/>
          <w:szCs w:val="22"/>
        </w:rPr>
        <w:t>Market (long-term)</w:t>
      </w:r>
      <w:r w:rsidRPr="00A75E24">
        <w:rPr>
          <w:rFonts w:cs="Arial"/>
          <w:color w:val="0D0D0D" w:themeColor="text1" w:themeTint="F2"/>
          <w:sz w:val="22"/>
          <w:szCs w:val="22"/>
        </w:rPr>
        <w:tab/>
      </w:r>
      <w:r w:rsidRPr="00A75E24">
        <w:rPr>
          <w:rFonts w:cs="Arial"/>
          <w:color w:val="0D0D0D" w:themeColor="text1" w:themeTint="F2"/>
          <w:sz w:val="22"/>
          <w:szCs w:val="22"/>
        </w:rPr>
        <w:fldChar w:fldCharType="begin"/>
      </w:r>
      <w:r w:rsidRPr="00A75E24">
        <w:rPr>
          <w:rFonts w:cs="Arial"/>
          <w:color w:val="0D0D0D" w:themeColor="text1" w:themeTint="F2"/>
          <w:sz w:val="22"/>
          <w:szCs w:val="22"/>
        </w:rPr>
        <w:instrText>SYMBOL 183 \f "Symbol" \s 18 \h</w:instrText>
      </w:r>
      <w:r w:rsidRPr="00A75E24">
        <w:rPr>
          <w:rFonts w:cs="Arial"/>
          <w:color w:val="0D0D0D" w:themeColor="text1" w:themeTint="F2"/>
          <w:sz w:val="22"/>
          <w:szCs w:val="22"/>
        </w:rPr>
        <w:fldChar w:fldCharType="end"/>
      </w:r>
      <w:r w:rsidRPr="00A75E24">
        <w:rPr>
          <w:rFonts w:cs="Arial"/>
          <w:color w:val="0D0D0D" w:themeColor="text1" w:themeTint="F2"/>
          <w:sz w:val="22"/>
          <w:szCs w:val="22"/>
        </w:rPr>
        <w:tab/>
      </w:r>
      <w:r w:rsidRPr="00A75E24">
        <w:rPr>
          <w:rFonts w:cs="Arial"/>
          <w:color w:val="0D0D0D" w:themeColor="text1" w:themeTint="F2"/>
          <w:sz w:val="22"/>
          <w:szCs w:val="22"/>
        </w:rPr>
        <w:fldChar w:fldCharType="begin"/>
      </w:r>
      <w:r w:rsidRPr="00A75E24">
        <w:rPr>
          <w:rFonts w:cs="Arial"/>
          <w:color w:val="0D0D0D" w:themeColor="text1" w:themeTint="F2"/>
          <w:sz w:val="22"/>
          <w:szCs w:val="22"/>
        </w:rPr>
        <w:instrText>SYMBOL 183 \f "Symbol" \s 18 \h</w:instrText>
      </w:r>
      <w:r w:rsidRPr="00A75E24">
        <w:rPr>
          <w:rFonts w:cs="Arial"/>
          <w:color w:val="0D0D0D" w:themeColor="text1" w:themeTint="F2"/>
          <w:sz w:val="22"/>
          <w:szCs w:val="22"/>
        </w:rPr>
        <w:fldChar w:fldCharType="end"/>
      </w:r>
    </w:p>
    <w:p w14:paraId="159D0F07" w14:textId="77777777" w:rsidR="005858F4" w:rsidRPr="00A75E24" w:rsidRDefault="005858F4" w:rsidP="005858F4">
      <w:pPr>
        <w:tabs>
          <w:tab w:val="right" w:pos="6480"/>
          <w:tab w:val="right" w:pos="7920"/>
        </w:tabs>
        <w:spacing w:before="15" w:after="15"/>
        <w:jc w:val="both"/>
        <w:rPr>
          <w:rFonts w:cs="Arial"/>
          <w:color w:val="0D0D0D" w:themeColor="text1" w:themeTint="F2"/>
          <w:sz w:val="22"/>
          <w:szCs w:val="22"/>
        </w:rPr>
      </w:pPr>
      <w:r w:rsidRPr="00A75E24">
        <w:rPr>
          <w:rFonts w:cs="Arial"/>
          <w:color w:val="0D0D0D" w:themeColor="text1" w:themeTint="F2"/>
          <w:sz w:val="22"/>
          <w:szCs w:val="22"/>
        </w:rPr>
        <w:t>Market (temporary)</w:t>
      </w:r>
      <w:r w:rsidRPr="00A75E24">
        <w:rPr>
          <w:rFonts w:cs="Arial"/>
          <w:color w:val="0D0D0D" w:themeColor="text1" w:themeTint="F2"/>
          <w:sz w:val="22"/>
          <w:szCs w:val="22"/>
        </w:rPr>
        <w:tab/>
      </w:r>
      <w:r w:rsidRPr="00A75E24">
        <w:rPr>
          <w:rFonts w:cs="Arial"/>
          <w:color w:val="0D0D0D" w:themeColor="text1" w:themeTint="F2"/>
          <w:sz w:val="22"/>
          <w:szCs w:val="22"/>
        </w:rPr>
        <w:fldChar w:fldCharType="begin"/>
      </w:r>
      <w:r w:rsidRPr="00A75E24">
        <w:rPr>
          <w:rFonts w:cs="Arial"/>
          <w:color w:val="0D0D0D" w:themeColor="text1" w:themeTint="F2"/>
          <w:sz w:val="22"/>
          <w:szCs w:val="22"/>
        </w:rPr>
        <w:instrText>SYMBOL 183 \f "Symbol" \s 18 \h</w:instrText>
      </w:r>
      <w:r w:rsidRPr="00A75E24">
        <w:rPr>
          <w:rFonts w:cs="Arial"/>
          <w:color w:val="0D0D0D" w:themeColor="text1" w:themeTint="F2"/>
          <w:sz w:val="22"/>
          <w:szCs w:val="22"/>
        </w:rPr>
        <w:fldChar w:fldCharType="end"/>
      </w:r>
      <w:r w:rsidRPr="00A75E24">
        <w:rPr>
          <w:rFonts w:cs="Arial"/>
          <w:color w:val="0D0D0D" w:themeColor="text1" w:themeTint="F2"/>
          <w:sz w:val="22"/>
          <w:szCs w:val="22"/>
        </w:rPr>
        <w:tab/>
      </w:r>
      <w:r w:rsidRPr="00A75E24">
        <w:rPr>
          <w:rFonts w:cs="Arial"/>
          <w:color w:val="0D0D0D" w:themeColor="text1" w:themeTint="F2"/>
          <w:sz w:val="22"/>
          <w:szCs w:val="22"/>
        </w:rPr>
        <w:fldChar w:fldCharType="begin"/>
      </w:r>
      <w:r w:rsidRPr="00A75E24">
        <w:rPr>
          <w:rFonts w:cs="Arial"/>
          <w:color w:val="0D0D0D" w:themeColor="text1" w:themeTint="F2"/>
          <w:sz w:val="22"/>
          <w:szCs w:val="22"/>
        </w:rPr>
        <w:instrText>SYMBOL 183 \f "Symbol" \s 18 \h</w:instrText>
      </w:r>
      <w:r w:rsidRPr="00A75E24">
        <w:rPr>
          <w:rFonts w:cs="Arial"/>
          <w:color w:val="0D0D0D" w:themeColor="text1" w:themeTint="F2"/>
          <w:sz w:val="22"/>
          <w:szCs w:val="22"/>
        </w:rPr>
        <w:fldChar w:fldCharType="end"/>
      </w:r>
    </w:p>
    <w:p w14:paraId="45563C9C" w14:textId="77777777" w:rsidR="005858F4" w:rsidRPr="00A75E24" w:rsidRDefault="005858F4" w:rsidP="005858F4">
      <w:pPr>
        <w:tabs>
          <w:tab w:val="right" w:pos="6480"/>
          <w:tab w:val="right" w:pos="7920"/>
        </w:tabs>
        <w:spacing w:before="15" w:after="15"/>
        <w:jc w:val="both"/>
        <w:rPr>
          <w:rFonts w:cs="Arial"/>
          <w:color w:val="0D0D0D" w:themeColor="text1" w:themeTint="F2"/>
          <w:sz w:val="22"/>
          <w:szCs w:val="22"/>
        </w:rPr>
      </w:pPr>
      <w:r w:rsidRPr="00A75E24">
        <w:rPr>
          <w:rFonts w:cs="Arial"/>
          <w:color w:val="0D0D0D" w:themeColor="text1" w:themeTint="F2"/>
          <w:sz w:val="22"/>
          <w:szCs w:val="22"/>
        </w:rPr>
        <w:t>Market (LOBOs)</w:t>
      </w:r>
      <w:r w:rsidRPr="00A75E24">
        <w:rPr>
          <w:rFonts w:cs="Arial"/>
          <w:color w:val="0D0D0D" w:themeColor="text1" w:themeTint="F2"/>
          <w:sz w:val="22"/>
          <w:szCs w:val="22"/>
        </w:rPr>
        <w:tab/>
      </w:r>
      <w:r w:rsidRPr="00A75E24">
        <w:rPr>
          <w:rFonts w:cs="Arial"/>
          <w:color w:val="0D0D0D" w:themeColor="text1" w:themeTint="F2"/>
          <w:sz w:val="22"/>
          <w:szCs w:val="22"/>
        </w:rPr>
        <w:fldChar w:fldCharType="begin"/>
      </w:r>
      <w:r w:rsidRPr="00A75E24">
        <w:rPr>
          <w:rFonts w:cs="Arial"/>
          <w:color w:val="0D0D0D" w:themeColor="text1" w:themeTint="F2"/>
          <w:sz w:val="22"/>
          <w:szCs w:val="22"/>
        </w:rPr>
        <w:instrText>SYMBOL 183 \f "Symbol" \s 18 \h</w:instrText>
      </w:r>
      <w:r w:rsidRPr="00A75E24">
        <w:rPr>
          <w:rFonts w:cs="Arial"/>
          <w:color w:val="0D0D0D" w:themeColor="text1" w:themeTint="F2"/>
          <w:sz w:val="22"/>
          <w:szCs w:val="22"/>
        </w:rPr>
        <w:fldChar w:fldCharType="end"/>
      </w:r>
      <w:r w:rsidRPr="00A75E24">
        <w:rPr>
          <w:rFonts w:cs="Arial"/>
          <w:color w:val="0D0D0D" w:themeColor="text1" w:themeTint="F2"/>
          <w:sz w:val="22"/>
          <w:szCs w:val="22"/>
        </w:rPr>
        <w:tab/>
      </w:r>
      <w:r w:rsidRPr="00A75E24">
        <w:rPr>
          <w:rFonts w:cs="Arial"/>
          <w:color w:val="0D0D0D" w:themeColor="text1" w:themeTint="F2"/>
          <w:sz w:val="22"/>
          <w:szCs w:val="22"/>
        </w:rPr>
        <w:fldChar w:fldCharType="begin"/>
      </w:r>
      <w:r w:rsidRPr="00A75E24">
        <w:rPr>
          <w:rFonts w:cs="Arial"/>
          <w:color w:val="0D0D0D" w:themeColor="text1" w:themeTint="F2"/>
          <w:sz w:val="22"/>
          <w:szCs w:val="22"/>
        </w:rPr>
        <w:instrText>SYMBOL 183 \f "Symbol" \s 18 \h</w:instrText>
      </w:r>
      <w:r w:rsidRPr="00A75E24">
        <w:rPr>
          <w:rFonts w:cs="Arial"/>
          <w:color w:val="0D0D0D" w:themeColor="text1" w:themeTint="F2"/>
          <w:sz w:val="22"/>
          <w:szCs w:val="22"/>
        </w:rPr>
        <w:fldChar w:fldCharType="end"/>
      </w:r>
    </w:p>
    <w:p w14:paraId="186007F0" w14:textId="77777777" w:rsidR="005858F4" w:rsidRPr="00A75E24" w:rsidRDefault="005858F4" w:rsidP="005858F4">
      <w:pPr>
        <w:tabs>
          <w:tab w:val="right" w:pos="6480"/>
          <w:tab w:val="right" w:pos="7920"/>
        </w:tabs>
        <w:spacing w:before="15" w:after="15"/>
        <w:jc w:val="both"/>
        <w:rPr>
          <w:rFonts w:cs="Arial"/>
          <w:color w:val="0D0D0D" w:themeColor="text1" w:themeTint="F2"/>
          <w:sz w:val="22"/>
          <w:szCs w:val="22"/>
        </w:rPr>
      </w:pPr>
      <w:r w:rsidRPr="00A75E24">
        <w:rPr>
          <w:rFonts w:cs="Arial"/>
          <w:color w:val="0D0D0D" w:themeColor="text1" w:themeTint="F2"/>
          <w:sz w:val="22"/>
          <w:szCs w:val="22"/>
        </w:rPr>
        <w:t>Stock issues</w:t>
      </w:r>
      <w:r w:rsidRPr="00A75E24">
        <w:rPr>
          <w:rFonts w:cs="Arial"/>
          <w:color w:val="0D0D0D" w:themeColor="text1" w:themeTint="F2"/>
          <w:sz w:val="22"/>
          <w:szCs w:val="22"/>
        </w:rPr>
        <w:tab/>
      </w:r>
      <w:r w:rsidRPr="00A75E24">
        <w:rPr>
          <w:rFonts w:cs="Arial"/>
          <w:color w:val="0D0D0D" w:themeColor="text1" w:themeTint="F2"/>
          <w:sz w:val="22"/>
          <w:szCs w:val="22"/>
        </w:rPr>
        <w:fldChar w:fldCharType="begin"/>
      </w:r>
      <w:r w:rsidRPr="00A75E24">
        <w:rPr>
          <w:rFonts w:cs="Arial"/>
          <w:color w:val="0D0D0D" w:themeColor="text1" w:themeTint="F2"/>
          <w:sz w:val="22"/>
          <w:szCs w:val="22"/>
        </w:rPr>
        <w:instrText>SYMBOL 183 \f "Symbol" \s 18 \h</w:instrText>
      </w:r>
      <w:r w:rsidRPr="00A75E24">
        <w:rPr>
          <w:rFonts w:cs="Arial"/>
          <w:color w:val="0D0D0D" w:themeColor="text1" w:themeTint="F2"/>
          <w:sz w:val="22"/>
          <w:szCs w:val="22"/>
        </w:rPr>
        <w:fldChar w:fldCharType="end"/>
      </w:r>
      <w:r w:rsidRPr="00A75E24">
        <w:rPr>
          <w:rFonts w:cs="Arial"/>
          <w:color w:val="0D0D0D" w:themeColor="text1" w:themeTint="F2"/>
          <w:sz w:val="22"/>
          <w:szCs w:val="22"/>
        </w:rPr>
        <w:tab/>
      </w:r>
      <w:r w:rsidRPr="00A75E24">
        <w:rPr>
          <w:rFonts w:cs="Arial"/>
          <w:color w:val="0D0D0D" w:themeColor="text1" w:themeTint="F2"/>
          <w:sz w:val="22"/>
          <w:szCs w:val="22"/>
        </w:rPr>
        <w:fldChar w:fldCharType="begin"/>
      </w:r>
      <w:r w:rsidRPr="00A75E24">
        <w:rPr>
          <w:rFonts w:cs="Arial"/>
          <w:color w:val="0D0D0D" w:themeColor="text1" w:themeTint="F2"/>
          <w:sz w:val="22"/>
          <w:szCs w:val="22"/>
        </w:rPr>
        <w:instrText>SYMBOL 183 \f "Symbol" \s 18 \h</w:instrText>
      </w:r>
      <w:r w:rsidRPr="00A75E24">
        <w:rPr>
          <w:rFonts w:cs="Arial"/>
          <w:color w:val="0D0D0D" w:themeColor="text1" w:themeTint="F2"/>
          <w:sz w:val="22"/>
          <w:szCs w:val="22"/>
        </w:rPr>
        <w:fldChar w:fldCharType="end"/>
      </w:r>
    </w:p>
    <w:p w14:paraId="371D3ECE" w14:textId="77777777" w:rsidR="005858F4" w:rsidRPr="00A75E24" w:rsidRDefault="005858F4" w:rsidP="005858F4">
      <w:pPr>
        <w:tabs>
          <w:tab w:val="right" w:pos="6480"/>
          <w:tab w:val="right" w:pos="7920"/>
        </w:tabs>
        <w:spacing w:before="15" w:after="15"/>
        <w:jc w:val="both"/>
        <w:rPr>
          <w:rFonts w:cs="Arial"/>
          <w:color w:val="0D0D0D" w:themeColor="text1" w:themeTint="F2"/>
          <w:sz w:val="22"/>
          <w:szCs w:val="22"/>
        </w:rPr>
      </w:pPr>
    </w:p>
    <w:p w14:paraId="77FF3CA6" w14:textId="77777777" w:rsidR="005858F4" w:rsidRPr="00A75E24" w:rsidRDefault="005858F4" w:rsidP="005858F4">
      <w:pPr>
        <w:tabs>
          <w:tab w:val="right" w:pos="6480"/>
          <w:tab w:val="right" w:pos="7920"/>
        </w:tabs>
        <w:spacing w:before="15" w:after="15"/>
        <w:jc w:val="both"/>
        <w:rPr>
          <w:rFonts w:cs="Arial"/>
          <w:color w:val="0D0D0D" w:themeColor="text1" w:themeTint="F2"/>
          <w:sz w:val="22"/>
          <w:szCs w:val="22"/>
        </w:rPr>
      </w:pPr>
      <w:r w:rsidRPr="00A75E24">
        <w:rPr>
          <w:rFonts w:cs="Arial"/>
          <w:color w:val="0D0D0D" w:themeColor="text1" w:themeTint="F2"/>
          <w:sz w:val="22"/>
          <w:szCs w:val="22"/>
        </w:rPr>
        <w:t>Local temporary</w:t>
      </w:r>
      <w:r w:rsidRPr="00A75E24">
        <w:rPr>
          <w:rFonts w:cs="Arial"/>
          <w:color w:val="0D0D0D" w:themeColor="text1" w:themeTint="F2"/>
          <w:sz w:val="22"/>
          <w:szCs w:val="22"/>
        </w:rPr>
        <w:tab/>
      </w:r>
      <w:r w:rsidRPr="00A75E24">
        <w:rPr>
          <w:rFonts w:cs="Arial"/>
          <w:color w:val="0D0D0D" w:themeColor="text1" w:themeTint="F2"/>
          <w:sz w:val="22"/>
          <w:szCs w:val="22"/>
        </w:rPr>
        <w:fldChar w:fldCharType="begin"/>
      </w:r>
      <w:r w:rsidRPr="00A75E24">
        <w:rPr>
          <w:rFonts w:cs="Arial"/>
          <w:color w:val="0D0D0D" w:themeColor="text1" w:themeTint="F2"/>
          <w:sz w:val="22"/>
          <w:szCs w:val="22"/>
        </w:rPr>
        <w:instrText>SYMBOL 183 \f "Symbol" \s 18 \h</w:instrText>
      </w:r>
      <w:r w:rsidRPr="00A75E24">
        <w:rPr>
          <w:rFonts w:cs="Arial"/>
          <w:color w:val="0D0D0D" w:themeColor="text1" w:themeTint="F2"/>
          <w:sz w:val="22"/>
          <w:szCs w:val="22"/>
        </w:rPr>
        <w:fldChar w:fldCharType="end"/>
      </w:r>
      <w:r w:rsidRPr="00A75E24">
        <w:rPr>
          <w:rFonts w:cs="Arial"/>
          <w:color w:val="0D0D0D" w:themeColor="text1" w:themeTint="F2"/>
          <w:sz w:val="22"/>
          <w:szCs w:val="22"/>
        </w:rPr>
        <w:tab/>
      </w:r>
      <w:r w:rsidRPr="00A75E24">
        <w:rPr>
          <w:rFonts w:cs="Arial"/>
          <w:color w:val="0D0D0D" w:themeColor="text1" w:themeTint="F2"/>
          <w:sz w:val="22"/>
          <w:szCs w:val="22"/>
        </w:rPr>
        <w:fldChar w:fldCharType="begin"/>
      </w:r>
      <w:r w:rsidRPr="00A75E24">
        <w:rPr>
          <w:rFonts w:cs="Arial"/>
          <w:color w:val="0D0D0D" w:themeColor="text1" w:themeTint="F2"/>
          <w:sz w:val="22"/>
          <w:szCs w:val="22"/>
        </w:rPr>
        <w:instrText>SYMBOL 183 \f "Symbol" \s 18 \h</w:instrText>
      </w:r>
      <w:r w:rsidRPr="00A75E24">
        <w:rPr>
          <w:rFonts w:cs="Arial"/>
          <w:color w:val="0D0D0D" w:themeColor="text1" w:themeTint="F2"/>
          <w:sz w:val="22"/>
          <w:szCs w:val="22"/>
        </w:rPr>
        <w:fldChar w:fldCharType="end"/>
      </w:r>
    </w:p>
    <w:p w14:paraId="15C6A804" w14:textId="77777777" w:rsidR="005858F4" w:rsidRPr="00A75E24" w:rsidRDefault="005858F4" w:rsidP="005858F4">
      <w:pPr>
        <w:tabs>
          <w:tab w:val="right" w:pos="6480"/>
          <w:tab w:val="right" w:pos="7920"/>
        </w:tabs>
        <w:spacing w:before="15" w:after="15"/>
        <w:jc w:val="both"/>
        <w:rPr>
          <w:rFonts w:cs="Arial"/>
          <w:color w:val="0D0D0D" w:themeColor="text1" w:themeTint="F2"/>
          <w:sz w:val="22"/>
          <w:szCs w:val="22"/>
        </w:rPr>
      </w:pPr>
      <w:r w:rsidRPr="00A75E24">
        <w:rPr>
          <w:rFonts w:cs="Arial"/>
          <w:color w:val="0D0D0D" w:themeColor="text1" w:themeTint="F2"/>
          <w:sz w:val="22"/>
          <w:szCs w:val="22"/>
        </w:rPr>
        <w:t>Local Bonds</w:t>
      </w:r>
      <w:r w:rsidRPr="00A75E24">
        <w:rPr>
          <w:rFonts w:cs="Arial"/>
          <w:color w:val="0D0D0D" w:themeColor="text1" w:themeTint="F2"/>
          <w:sz w:val="22"/>
          <w:szCs w:val="22"/>
        </w:rPr>
        <w:tab/>
      </w:r>
      <w:r w:rsidRPr="00A75E24">
        <w:rPr>
          <w:rFonts w:cs="Arial"/>
          <w:color w:val="0D0D0D" w:themeColor="text1" w:themeTint="F2"/>
          <w:sz w:val="22"/>
          <w:szCs w:val="22"/>
        </w:rPr>
        <w:fldChar w:fldCharType="begin"/>
      </w:r>
      <w:r w:rsidRPr="00A75E24">
        <w:rPr>
          <w:rFonts w:cs="Arial"/>
          <w:color w:val="0D0D0D" w:themeColor="text1" w:themeTint="F2"/>
          <w:sz w:val="22"/>
          <w:szCs w:val="22"/>
        </w:rPr>
        <w:instrText>SYMBOL 183 \f "Symbol" \s 18 \h</w:instrText>
      </w:r>
      <w:r w:rsidRPr="00A75E24">
        <w:rPr>
          <w:rFonts w:cs="Arial"/>
          <w:color w:val="0D0D0D" w:themeColor="text1" w:themeTint="F2"/>
          <w:sz w:val="22"/>
          <w:szCs w:val="22"/>
        </w:rPr>
        <w:fldChar w:fldCharType="end"/>
      </w:r>
    </w:p>
    <w:p w14:paraId="012850BD" w14:textId="77777777" w:rsidR="005858F4" w:rsidRPr="00A75E24" w:rsidRDefault="005858F4" w:rsidP="005858F4">
      <w:pPr>
        <w:tabs>
          <w:tab w:val="right" w:pos="6480"/>
          <w:tab w:val="right" w:pos="7920"/>
        </w:tabs>
        <w:spacing w:before="15" w:after="15"/>
        <w:jc w:val="both"/>
        <w:rPr>
          <w:rFonts w:cs="Arial"/>
          <w:color w:val="0D0D0D" w:themeColor="text1" w:themeTint="F2"/>
          <w:sz w:val="22"/>
          <w:szCs w:val="22"/>
        </w:rPr>
      </w:pPr>
      <w:r w:rsidRPr="00A75E24">
        <w:rPr>
          <w:rFonts w:cs="Arial"/>
          <w:color w:val="0D0D0D" w:themeColor="text1" w:themeTint="F2"/>
          <w:sz w:val="22"/>
          <w:szCs w:val="22"/>
        </w:rPr>
        <w:t xml:space="preserve">Local authority bills                                                                 </w:t>
      </w:r>
      <w:r w:rsidRPr="00A75E24">
        <w:rPr>
          <w:rFonts w:cs="Arial"/>
          <w:color w:val="0D0D0D" w:themeColor="text1" w:themeTint="F2"/>
          <w:sz w:val="22"/>
          <w:szCs w:val="22"/>
        </w:rPr>
        <w:tab/>
        <w:t xml:space="preserve">  </w:t>
      </w:r>
      <w:r w:rsidRPr="00A75E24">
        <w:rPr>
          <w:rFonts w:cs="Arial"/>
          <w:color w:val="0D0D0D" w:themeColor="text1" w:themeTint="F2"/>
          <w:sz w:val="22"/>
          <w:szCs w:val="22"/>
        </w:rPr>
        <w:fldChar w:fldCharType="begin"/>
      </w:r>
      <w:r w:rsidRPr="00A75E24">
        <w:rPr>
          <w:rFonts w:cs="Arial"/>
          <w:color w:val="0D0D0D" w:themeColor="text1" w:themeTint="F2"/>
          <w:sz w:val="22"/>
          <w:szCs w:val="22"/>
        </w:rPr>
        <w:instrText>SYMBOL 183 \f "Symbol" \s 18 \h</w:instrText>
      </w:r>
      <w:r w:rsidRPr="00A75E24">
        <w:rPr>
          <w:rFonts w:cs="Arial"/>
          <w:color w:val="0D0D0D" w:themeColor="text1" w:themeTint="F2"/>
          <w:sz w:val="22"/>
          <w:szCs w:val="22"/>
        </w:rPr>
        <w:fldChar w:fldCharType="end"/>
      </w:r>
      <w:r w:rsidRPr="00A75E24">
        <w:rPr>
          <w:rFonts w:cs="Arial"/>
          <w:color w:val="0D0D0D" w:themeColor="text1" w:themeTint="F2"/>
          <w:sz w:val="22"/>
          <w:szCs w:val="22"/>
        </w:rPr>
        <w:tab/>
      </w:r>
      <w:r w:rsidRPr="00A75E24">
        <w:rPr>
          <w:rFonts w:cs="Arial"/>
          <w:color w:val="0D0D0D" w:themeColor="text1" w:themeTint="F2"/>
          <w:sz w:val="22"/>
          <w:szCs w:val="22"/>
        </w:rPr>
        <w:fldChar w:fldCharType="begin"/>
      </w:r>
      <w:r w:rsidRPr="00A75E24">
        <w:rPr>
          <w:rFonts w:cs="Arial"/>
          <w:color w:val="0D0D0D" w:themeColor="text1" w:themeTint="F2"/>
          <w:sz w:val="22"/>
          <w:szCs w:val="22"/>
        </w:rPr>
        <w:instrText>SYMBOL 183 \f "Symbol" \s 18 \h</w:instrText>
      </w:r>
      <w:r w:rsidRPr="00A75E24">
        <w:rPr>
          <w:rFonts w:cs="Arial"/>
          <w:color w:val="0D0D0D" w:themeColor="text1" w:themeTint="F2"/>
          <w:sz w:val="22"/>
          <w:szCs w:val="22"/>
        </w:rPr>
        <w:fldChar w:fldCharType="end"/>
      </w:r>
    </w:p>
    <w:p w14:paraId="02AE0761" w14:textId="77777777" w:rsidR="005858F4" w:rsidRPr="00A75E24" w:rsidRDefault="005858F4" w:rsidP="005858F4">
      <w:pPr>
        <w:tabs>
          <w:tab w:val="right" w:pos="6480"/>
          <w:tab w:val="right" w:pos="7920"/>
        </w:tabs>
        <w:spacing w:before="15" w:after="15"/>
        <w:jc w:val="both"/>
        <w:rPr>
          <w:rFonts w:cs="Arial"/>
          <w:color w:val="0D0D0D" w:themeColor="text1" w:themeTint="F2"/>
          <w:sz w:val="22"/>
          <w:szCs w:val="22"/>
        </w:rPr>
      </w:pPr>
      <w:r w:rsidRPr="00A75E24">
        <w:rPr>
          <w:rFonts w:cs="Arial"/>
          <w:color w:val="0D0D0D" w:themeColor="text1" w:themeTint="F2"/>
          <w:sz w:val="22"/>
          <w:szCs w:val="22"/>
        </w:rPr>
        <w:t>Overdraft</w:t>
      </w:r>
      <w:r w:rsidRPr="00A75E24">
        <w:rPr>
          <w:rFonts w:cs="Arial"/>
          <w:color w:val="0D0D0D" w:themeColor="text1" w:themeTint="F2"/>
          <w:sz w:val="22"/>
          <w:szCs w:val="22"/>
        </w:rPr>
        <w:tab/>
      </w:r>
      <w:r w:rsidRPr="00A75E24">
        <w:rPr>
          <w:rFonts w:cs="Arial"/>
          <w:color w:val="0D0D0D" w:themeColor="text1" w:themeTint="F2"/>
          <w:sz w:val="22"/>
          <w:szCs w:val="22"/>
        </w:rPr>
        <w:tab/>
      </w:r>
      <w:r w:rsidRPr="00A75E24">
        <w:rPr>
          <w:rFonts w:cs="Arial"/>
          <w:color w:val="0D0D0D" w:themeColor="text1" w:themeTint="F2"/>
          <w:sz w:val="22"/>
          <w:szCs w:val="22"/>
        </w:rPr>
        <w:fldChar w:fldCharType="begin"/>
      </w:r>
      <w:r w:rsidRPr="00A75E24">
        <w:rPr>
          <w:rFonts w:cs="Arial"/>
          <w:color w:val="0D0D0D" w:themeColor="text1" w:themeTint="F2"/>
          <w:sz w:val="22"/>
          <w:szCs w:val="22"/>
        </w:rPr>
        <w:instrText>SYMBOL 183 \f "Symbol" \s 18 \h</w:instrText>
      </w:r>
      <w:r w:rsidRPr="00A75E24">
        <w:rPr>
          <w:rFonts w:cs="Arial"/>
          <w:color w:val="0D0D0D" w:themeColor="text1" w:themeTint="F2"/>
          <w:sz w:val="22"/>
          <w:szCs w:val="22"/>
        </w:rPr>
        <w:fldChar w:fldCharType="end"/>
      </w:r>
    </w:p>
    <w:p w14:paraId="695DC7DD" w14:textId="77777777" w:rsidR="005858F4" w:rsidRPr="00A75E24" w:rsidRDefault="005858F4" w:rsidP="005858F4">
      <w:pPr>
        <w:tabs>
          <w:tab w:val="right" w:pos="6480"/>
          <w:tab w:val="right" w:pos="7920"/>
        </w:tabs>
        <w:spacing w:before="15" w:after="15"/>
        <w:jc w:val="both"/>
        <w:rPr>
          <w:rFonts w:cs="Arial"/>
          <w:color w:val="0D0D0D" w:themeColor="text1" w:themeTint="F2"/>
          <w:sz w:val="22"/>
          <w:szCs w:val="22"/>
        </w:rPr>
      </w:pPr>
      <w:r w:rsidRPr="00A75E24">
        <w:rPr>
          <w:rFonts w:cs="Arial"/>
          <w:color w:val="0D0D0D" w:themeColor="text1" w:themeTint="F2"/>
          <w:sz w:val="22"/>
          <w:szCs w:val="22"/>
        </w:rPr>
        <w:t>Negotiable Bonds</w:t>
      </w:r>
      <w:r w:rsidRPr="00A75E24">
        <w:rPr>
          <w:rFonts w:cs="Arial"/>
          <w:color w:val="0D0D0D" w:themeColor="text1" w:themeTint="F2"/>
          <w:sz w:val="22"/>
          <w:szCs w:val="22"/>
        </w:rPr>
        <w:tab/>
      </w:r>
      <w:r w:rsidRPr="00A75E24">
        <w:rPr>
          <w:rFonts w:cs="Arial"/>
          <w:color w:val="0D0D0D" w:themeColor="text1" w:themeTint="F2"/>
          <w:sz w:val="22"/>
          <w:szCs w:val="22"/>
        </w:rPr>
        <w:fldChar w:fldCharType="begin"/>
      </w:r>
      <w:r w:rsidRPr="00A75E24">
        <w:rPr>
          <w:rFonts w:cs="Arial"/>
          <w:color w:val="0D0D0D" w:themeColor="text1" w:themeTint="F2"/>
          <w:sz w:val="22"/>
          <w:szCs w:val="22"/>
        </w:rPr>
        <w:instrText>SYMBOL 183 \f "Symbol" \s 18 \h</w:instrText>
      </w:r>
      <w:r w:rsidRPr="00A75E24">
        <w:rPr>
          <w:rFonts w:cs="Arial"/>
          <w:color w:val="0D0D0D" w:themeColor="text1" w:themeTint="F2"/>
          <w:sz w:val="22"/>
          <w:szCs w:val="22"/>
        </w:rPr>
        <w:fldChar w:fldCharType="end"/>
      </w:r>
      <w:r w:rsidRPr="00A75E24">
        <w:rPr>
          <w:rFonts w:cs="Arial"/>
          <w:color w:val="0D0D0D" w:themeColor="text1" w:themeTint="F2"/>
          <w:sz w:val="22"/>
          <w:szCs w:val="22"/>
        </w:rPr>
        <w:tab/>
      </w:r>
      <w:r w:rsidRPr="00A75E24">
        <w:rPr>
          <w:rFonts w:cs="Arial"/>
          <w:color w:val="0D0D0D" w:themeColor="text1" w:themeTint="F2"/>
          <w:sz w:val="22"/>
          <w:szCs w:val="22"/>
        </w:rPr>
        <w:fldChar w:fldCharType="begin"/>
      </w:r>
      <w:r w:rsidRPr="00A75E24">
        <w:rPr>
          <w:rFonts w:cs="Arial"/>
          <w:color w:val="0D0D0D" w:themeColor="text1" w:themeTint="F2"/>
          <w:sz w:val="22"/>
          <w:szCs w:val="22"/>
        </w:rPr>
        <w:instrText>SYMBOL 183 \f "Symbol" \s 18 \h</w:instrText>
      </w:r>
      <w:r w:rsidRPr="00A75E24">
        <w:rPr>
          <w:rFonts w:cs="Arial"/>
          <w:color w:val="0D0D0D" w:themeColor="text1" w:themeTint="F2"/>
          <w:sz w:val="22"/>
          <w:szCs w:val="22"/>
        </w:rPr>
        <w:fldChar w:fldCharType="end"/>
      </w:r>
    </w:p>
    <w:p w14:paraId="4DC95464" w14:textId="77777777" w:rsidR="005858F4" w:rsidRPr="00A75E24" w:rsidRDefault="005858F4" w:rsidP="005858F4">
      <w:pPr>
        <w:tabs>
          <w:tab w:val="right" w:pos="6480"/>
          <w:tab w:val="right" w:pos="7920"/>
        </w:tabs>
        <w:spacing w:before="15" w:after="15"/>
        <w:jc w:val="both"/>
        <w:rPr>
          <w:rFonts w:cs="Arial"/>
          <w:color w:val="0D0D0D" w:themeColor="text1" w:themeTint="F2"/>
          <w:sz w:val="22"/>
          <w:szCs w:val="22"/>
        </w:rPr>
      </w:pPr>
    </w:p>
    <w:p w14:paraId="3FB76F86" w14:textId="77777777" w:rsidR="005858F4" w:rsidRPr="00A75E24" w:rsidRDefault="005858F4" w:rsidP="005858F4">
      <w:pPr>
        <w:tabs>
          <w:tab w:val="right" w:pos="6480"/>
          <w:tab w:val="right" w:pos="7920"/>
        </w:tabs>
        <w:spacing w:before="15" w:after="15"/>
        <w:jc w:val="both"/>
        <w:rPr>
          <w:rFonts w:cs="Arial"/>
          <w:color w:val="0D0D0D" w:themeColor="text1" w:themeTint="F2"/>
          <w:sz w:val="22"/>
          <w:szCs w:val="22"/>
        </w:rPr>
      </w:pPr>
      <w:r w:rsidRPr="00A75E24">
        <w:rPr>
          <w:rFonts w:cs="Arial"/>
          <w:color w:val="0D0D0D" w:themeColor="text1" w:themeTint="F2"/>
          <w:sz w:val="22"/>
          <w:szCs w:val="22"/>
        </w:rPr>
        <w:t>Internal (capital receipts &amp; revenue balances)</w:t>
      </w:r>
      <w:r w:rsidRPr="00A75E24">
        <w:rPr>
          <w:rFonts w:cs="Arial"/>
          <w:color w:val="0D0D0D" w:themeColor="text1" w:themeTint="F2"/>
          <w:sz w:val="22"/>
          <w:szCs w:val="22"/>
        </w:rPr>
        <w:tab/>
      </w:r>
      <w:r w:rsidRPr="00A75E24">
        <w:rPr>
          <w:rFonts w:cs="Arial"/>
          <w:color w:val="0D0D0D" w:themeColor="text1" w:themeTint="F2"/>
          <w:sz w:val="22"/>
          <w:szCs w:val="22"/>
        </w:rPr>
        <w:fldChar w:fldCharType="begin"/>
      </w:r>
      <w:r w:rsidRPr="00A75E24">
        <w:rPr>
          <w:rFonts w:cs="Arial"/>
          <w:color w:val="0D0D0D" w:themeColor="text1" w:themeTint="F2"/>
          <w:sz w:val="22"/>
          <w:szCs w:val="22"/>
        </w:rPr>
        <w:instrText>SYMBOL 183 \f "Symbol" \s 18 \h</w:instrText>
      </w:r>
      <w:r w:rsidRPr="00A75E24">
        <w:rPr>
          <w:rFonts w:cs="Arial"/>
          <w:color w:val="0D0D0D" w:themeColor="text1" w:themeTint="F2"/>
          <w:sz w:val="22"/>
          <w:szCs w:val="22"/>
        </w:rPr>
        <w:fldChar w:fldCharType="end"/>
      </w:r>
      <w:r w:rsidRPr="00A75E24">
        <w:rPr>
          <w:rFonts w:cs="Arial"/>
          <w:color w:val="0D0D0D" w:themeColor="text1" w:themeTint="F2"/>
          <w:sz w:val="22"/>
          <w:szCs w:val="22"/>
        </w:rPr>
        <w:tab/>
      </w:r>
      <w:r w:rsidRPr="00A75E24">
        <w:rPr>
          <w:rFonts w:cs="Arial"/>
          <w:color w:val="0D0D0D" w:themeColor="text1" w:themeTint="F2"/>
          <w:sz w:val="22"/>
          <w:szCs w:val="22"/>
        </w:rPr>
        <w:fldChar w:fldCharType="begin"/>
      </w:r>
      <w:r w:rsidRPr="00A75E24">
        <w:rPr>
          <w:rFonts w:cs="Arial"/>
          <w:color w:val="0D0D0D" w:themeColor="text1" w:themeTint="F2"/>
          <w:sz w:val="22"/>
          <w:szCs w:val="22"/>
        </w:rPr>
        <w:instrText>SYMBOL 183 \f "Symbol" \s 18 \h</w:instrText>
      </w:r>
      <w:r w:rsidRPr="00A75E24">
        <w:rPr>
          <w:rFonts w:cs="Arial"/>
          <w:color w:val="0D0D0D" w:themeColor="text1" w:themeTint="F2"/>
          <w:sz w:val="22"/>
          <w:szCs w:val="22"/>
        </w:rPr>
        <w:fldChar w:fldCharType="end"/>
      </w:r>
    </w:p>
    <w:p w14:paraId="7B3E306F" w14:textId="77777777" w:rsidR="005858F4" w:rsidRPr="00A75E24" w:rsidRDefault="005858F4" w:rsidP="005858F4">
      <w:pPr>
        <w:tabs>
          <w:tab w:val="right" w:pos="6480"/>
          <w:tab w:val="right" w:pos="7920"/>
        </w:tabs>
        <w:spacing w:before="15" w:after="15"/>
        <w:jc w:val="both"/>
        <w:rPr>
          <w:rFonts w:cs="Arial"/>
          <w:color w:val="0D0D0D" w:themeColor="text1" w:themeTint="F2"/>
          <w:sz w:val="22"/>
          <w:szCs w:val="22"/>
        </w:rPr>
      </w:pPr>
      <w:r w:rsidRPr="00A75E24">
        <w:rPr>
          <w:rFonts w:cs="Arial"/>
          <w:color w:val="0D0D0D" w:themeColor="text1" w:themeTint="F2"/>
          <w:sz w:val="22"/>
          <w:szCs w:val="22"/>
        </w:rPr>
        <w:t>Commercial Paper</w:t>
      </w:r>
      <w:r w:rsidRPr="00A75E24">
        <w:rPr>
          <w:rFonts w:cs="Arial"/>
          <w:color w:val="0D0D0D" w:themeColor="text1" w:themeTint="F2"/>
          <w:sz w:val="22"/>
          <w:szCs w:val="22"/>
        </w:rPr>
        <w:tab/>
      </w:r>
      <w:r w:rsidRPr="00A75E24">
        <w:rPr>
          <w:rFonts w:cs="Arial"/>
          <w:color w:val="0D0D0D" w:themeColor="text1" w:themeTint="F2"/>
          <w:sz w:val="22"/>
          <w:szCs w:val="22"/>
        </w:rPr>
        <w:fldChar w:fldCharType="begin"/>
      </w:r>
      <w:r w:rsidRPr="00A75E24">
        <w:rPr>
          <w:rFonts w:cs="Arial"/>
          <w:color w:val="0D0D0D" w:themeColor="text1" w:themeTint="F2"/>
          <w:sz w:val="22"/>
          <w:szCs w:val="22"/>
        </w:rPr>
        <w:instrText>SYMBOL 183 \f "Symbol" \s 18 \h</w:instrText>
      </w:r>
      <w:r w:rsidRPr="00A75E24">
        <w:rPr>
          <w:rFonts w:cs="Arial"/>
          <w:color w:val="0D0D0D" w:themeColor="text1" w:themeTint="F2"/>
          <w:sz w:val="22"/>
          <w:szCs w:val="22"/>
        </w:rPr>
        <w:fldChar w:fldCharType="end"/>
      </w:r>
    </w:p>
    <w:p w14:paraId="1BD4FA7A" w14:textId="77777777" w:rsidR="005858F4" w:rsidRPr="00A75E24" w:rsidRDefault="005858F4" w:rsidP="005858F4">
      <w:pPr>
        <w:tabs>
          <w:tab w:val="right" w:pos="6480"/>
          <w:tab w:val="right" w:pos="7920"/>
        </w:tabs>
        <w:spacing w:before="15" w:after="15"/>
        <w:jc w:val="both"/>
        <w:rPr>
          <w:rFonts w:cs="Arial"/>
          <w:b/>
          <w:color w:val="0D0D0D" w:themeColor="text1" w:themeTint="F2"/>
          <w:sz w:val="22"/>
          <w:szCs w:val="22"/>
        </w:rPr>
      </w:pPr>
      <w:r w:rsidRPr="00A75E24">
        <w:rPr>
          <w:rFonts w:cs="Arial"/>
          <w:color w:val="0D0D0D" w:themeColor="text1" w:themeTint="F2"/>
          <w:sz w:val="22"/>
          <w:szCs w:val="22"/>
        </w:rPr>
        <w:t>Medium Term Notes</w:t>
      </w:r>
      <w:r w:rsidRPr="00A75E24">
        <w:rPr>
          <w:rFonts w:cs="Arial"/>
          <w:color w:val="0D0D0D" w:themeColor="text1" w:themeTint="F2"/>
          <w:sz w:val="22"/>
          <w:szCs w:val="22"/>
        </w:rPr>
        <w:tab/>
      </w:r>
      <w:r w:rsidRPr="00A75E24">
        <w:rPr>
          <w:rFonts w:cs="Arial"/>
          <w:color w:val="0D0D0D" w:themeColor="text1" w:themeTint="F2"/>
          <w:sz w:val="22"/>
          <w:szCs w:val="22"/>
        </w:rPr>
        <w:fldChar w:fldCharType="begin"/>
      </w:r>
      <w:r w:rsidRPr="00A75E24">
        <w:rPr>
          <w:rFonts w:cs="Arial"/>
          <w:color w:val="0D0D0D" w:themeColor="text1" w:themeTint="F2"/>
          <w:sz w:val="22"/>
          <w:szCs w:val="22"/>
        </w:rPr>
        <w:instrText>SYMBOL 183 \f "Symbol" \s 18 \h</w:instrText>
      </w:r>
      <w:r w:rsidRPr="00A75E24">
        <w:rPr>
          <w:rFonts w:cs="Arial"/>
          <w:color w:val="0D0D0D" w:themeColor="text1" w:themeTint="F2"/>
          <w:sz w:val="22"/>
          <w:szCs w:val="22"/>
        </w:rPr>
        <w:fldChar w:fldCharType="end"/>
      </w:r>
      <w:r w:rsidRPr="00A75E24">
        <w:rPr>
          <w:rFonts w:cs="Arial"/>
          <w:b/>
          <w:color w:val="0D0D0D" w:themeColor="text1" w:themeTint="F2"/>
          <w:sz w:val="22"/>
          <w:szCs w:val="22"/>
        </w:rPr>
        <w:tab/>
      </w:r>
    </w:p>
    <w:p w14:paraId="3F44057B" w14:textId="5FE6B0F2" w:rsidR="005858F4" w:rsidRPr="003D6E2F" w:rsidRDefault="005858F4" w:rsidP="003D6E2F">
      <w:pPr>
        <w:tabs>
          <w:tab w:val="right" w:pos="6480"/>
          <w:tab w:val="right" w:pos="7920"/>
        </w:tabs>
        <w:spacing w:before="15" w:after="15"/>
        <w:jc w:val="both"/>
        <w:rPr>
          <w:rFonts w:cs="Arial"/>
          <w:color w:val="0D0D0D" w:themeColor="text1" w:themeTint="F2"/>
          <w:sz w:val="22"/>
          <w:szCs w:val="22"/>
        </w:rPr>
      </w:pPr>
      <w:r w:rsidRPr="00A75E24">
        <w:rPr>
          <w:rFonts w:cs="Arial"/>
          <w:color w:val="0D0D0D" w:themeColor="text1" w:themeTint="F2"/>
          <w:sz w:val="22"/>
          <w:szCs w:val="22"/>
        </w:rPr>
        <w:t>Finance leases</w:t>
      </w:r>
      <w:r w:rsidRPr="00A75E24">
        <w:rPr>
          <w:rFonts w:cs="Arial"/>
          <w:color w:val="0D0D0D" w:themeColor="text1" w:themeTint="F2"/>
          <w:sz w:val="22"/>
          <w:szCs w:val="22"/>
        </w:rPr>
        <w:tab/>
      </w:r>
      <w:r w:rsidRPr="00A75E24">
        <w:rPr>
          <w:rFonts w:cs="Arial"/>
          <w:color w:val="0D0D0D" w:themeColor="text1" w:themeTint="F2"/>
          <w:sz w:val="22"/>
          <w:szCs w:val="22"/>
        </w:rPr>
        <w:fldChar w:fldCharType="begin"/>
      </w:r>
      <w:r w:rsidRPr="00A75E24">
        <w:rPr>
          <w:rFonts w:cs="Arial"/>
          <w:color w:val="0D0D0D" w:themeColor="text1" w:themeTint="F2"/>
          <w:sz w:val="22"/>
          <w:szCs w:val="22"/>
        </w:rPr>
        <w:instrText>SYMBOL 183 \f "Symbol" \s 18 \h</w:instrText>
      </w:r>
      <w:r w:rsidRPr="00A75E24">
        <w:rPr>
          <w:rFonts w:cs="Arial"/>
          <w:color w:val="0D0D0D" w:themeColor="text1" w:themeTint="F2"/>
          <w:sz w:val="22"/>
          <w:szCs w:val="22"/>
        </w:rPr>
        <w:fldChar w:fldCharType="end"/>
      </w:r>
      <w:r w:rsidRPr="00A75E24">
        <w:rPr>
          <w:rFonts w:cs="Arial"/>
          <w:color w:val="0D0D0D" w:themeColor="text1" w:themeTint="F2"/>
          <w:sz w:val="22"/>
          <w:szCs w:val="22"/>
        </w:rPr>
        <w:tab/>
      </w:r>
      <w:r w:rsidRPr="00A75E24">
        <w:rPr>
          <w:rFonts w:cs="Arial"/>
          <w:color w:val="0D0D0D" w:themeColor="text1" w:themeTint="F2"/>
          <w:sz w:val="22"/>
          <w:szCs w:val="22"/>
        </w:rPr>
        <w:fldChar w:fldCharType="begin"/>
      </w:r>
      <w:r w:rsidRPr="00A75E24">
        <w:rPr>
          <w:rFonts w:cs="Arial"/>
          <w:color w:val="0D0D0D" w:themeColor="text1" w:themeTint="F2"/>
          <w:sz w:val="22"/>
          <w:szCs w:val="22"/>
        </w:rPr>
        <w:instrText>SYMBOL 183 \f "Symbol" \s 18 \h</w:instrText>
      </w:r>
      <w:r w:rsidRPr="00A75E24">
        <w:rPr>
          <w:rFonts w:cs="Arial"/>
          <w:color w:val="0D0D0D" w:themeColor="text1" w:themeTint="F2"/>
          <w:sz w:val="22"/>
          <w:szCs w:val="22"/>
        </w:rPr>
        <w:fldChar w:fldCharType="end"/>
      </w:r>
    </w:p>
    <w:p w14:paraId="19FC0582" w14:textId="0735D365" w:rsidR="005858F4" w:rsidRDefault="005858F4" w:rsidP="005858F4"/>
    <w:p w14:paraId="36FB6B7C" w14:textId="66574AD0" w:rsidR="00F33853" w:rsidRDefault="00F33853" w:rsidP="005858F4"/>
    <w:p w14:paraId="3DDDF471" w14:textId="06F75597" w:rsidR="00F33853" w:rsidRDefault="00F33853" w:rsidP="005858F4"/>
    <w:p w14:paraId="599B40B8" w14:textId="340EBBE5" w:rsidR="00F33853" w:rsidRDefault="00F33853" w:rsidP="005858F4"/>
    <w:p w14:paraId="344B0CFE" w14:textId="3E3E4D15" w:rsidR="00F33853" w:rsidRDefault="00F33853" w:rsidP="005858F4"/>
    <w:p w14:paraId="771FEC2D" w14:textId="1EB47A7A" w:rsidR="00F33853" w:rsidRDefault="00F33853" w:rsidP="005858F4"/>
    <w:p w14:paraId="0CCB652D" w14:textId="71F5346E" w:rsidR="00F33853" w:rsidRDefault="00F33853" w:rsidP="005858F4"/>
    <w:p w14:paraId="66E94BEE" w14:textId="1F12DFED" w:rsidR="00F33853" w:rsidRDefault="00F33853" w:rsidP="005858F4"/>
    <w:p w14:paraId="3225413E" w14:textId="5A44BF90" w:rsidR="00F33853" w:rsidRDefault="00F33853" w:rsidP="005858F4"/>
    <w:p w14:paraId="0E356447" w14:textId="2F60719F" w:rsidR="005858F4" w:rsidRPr="003D6E2F" w:rsidRDefault="005858F4" w:rsidP="00937024">
      <w:pPr>
        <w:pStyle w:val="Heading2"/>
        <w:rPr>
          <w:rFonts w:ascii="Arial" w:hAnsi="Arial"/>
          <w:sz w:val="28"/>
          <w:szCs w:val="28"/>
        </w:rPr>
      </w:pPr>
      <w:r w:rsidRPr="003D6E2F">
        <w:rPr>
          <w:rFonts w:ascii="Arial" w:hAnsi="Arial"/>
          <w:sz w:val="28"/>
          <w:szCs w:val="28"/>
        </w:rPr>
        <w:lastRenderedPageBreak/>
        <w:t>Annual Investment Strategy</w:t>
      </w:r>
    </w:p>
    <w:p w14:paraId="21F3BB0D" w14:textId="1E5BB6D8" w:rsidR="005858F4" w:rsidRDefault="005858F4" w:rsidP="005858F4"/>
    <w:p w14:paraId="10B09A18" w14:textId="77777777" w:rsidR="00B46340" w:rsidRPr="00472DFF" w:rsidRDefault="00B46340" w:rsidP="00B46340">
      <w:pPr>
        <w:jc w:val="both"/>
        <w:rPr>
          <w:rFonts w:cs="Arial"/>
          <w:b/>
          <w:bCs/>
          <w:szCs w:val="24"/>
          <w:lang w:eastAsia="en-GB"/>
        </w:rPr>
      </w:pPr>
      <w:bookmarkStart w:id="10" w:name="_Toc60749556"/>
      <w:r w:rsidRPr="00472DFF">
        <w:rPr>
          <w:rFonts w:cs="Arial"/>
          <w:b/>
          <w:bCs/>
          <w:szCs w:val="24"/>
          <w:lang w:eastAsia="en-GB"/>
        </w:rPr>
        <w:t>Investment policy</w:t>
      </w:r>
      <w:bookmarkEnd w:id="10"/>
      <w:r w:rsidRPr="00472DFF">
        <w:rPr>
          <w:rFonts w:cs="Arial"/>
          <w:b/>
          <w:bCs/>
          <w:szCs w:val="24"/>
          <w:lang w:eastAsia="en-GB"/>
        </w:rPr>
        <w:t xml:space="preserve"> </w:t>
      </w:r>
    </w:p>
    <w:p w14:paraId="62145785" w14:textId="77777777" w:rsidR="00B46340" w:rsidRDefault="00B46340" w:rsidP="00B46340">
      <w:pPr>
        <w:jc w:val="both"/>
        <w:rPr>
          <w:rFonts w:cs="Arial"/>
          <w:b/>
          <w:bCs/>
          <w:szCs w:val="24"/>
          <w:lang w:eastAsia="en-GB"/>
        </w:rPr>
      </w:pPr>
    </w:p>
    <w:p w14:paraId="416E6A20" w14:textId="77777777" w:rsidR="00B46340" w:rsidRPr="00820F85" w:rsidRDefault="00B46340" w:rsidP="0099334D">
      <w:pPr>
        <w:pStyle w:val="ListParagraph"/>
        <w:numPr>
          <w:ilvl w:val="0"/>
          <w:numId w:val="15"/>
        </w:numPr>
        <w:ind w:left="0" w:hanging="720"/>
        <w:rPr>
          <w:rFonts w:cs="Arial"/>
          <w:bCs/>
          <w:szCs w:val="24"/>
        </w:rPr>
      </w:pPr>
      <w:r w:rsidRPr="00820F85">
        <w:rPr>
          <w:rFonts w:cs="Arial"/>
          <w:bCs/>
          <w:szCs w:val="24"/>
        </w:rPr>
        <w:t>The Council’s investment policy has regard to the following: -</w:t>
      </w:r>
    </w:p>
    <w:p w14:paraId="43EA1B2D" w14:textId="63A9A4E8" w:rsidR="00B46340" w:rsidRPr="00555A70" w:rsidRDefault="00660E5A" w:rsidP="0099334D">
      <w:pPr>
        <w:pStyle w:val="ListParagraph"/>
        <w:numPr>
          <w:ilvl w:val="0"/>
          <w:numId w:val="1"/>
        </w:numPr>
        <w:autoSpaceDE w:val="0"/>
        <w:autoSpaceDN w:val="0"/>
        <w:adjustRightInd w:val="0"/>
        <w:ind w:left="284" w:hanging="284"/>
        <w:rPr>
          <w:rFonts w:cs="Arial"/>
          <w:szCs w:val="24"/>
          <w:lang w:eastAsia="en-GB"/>
        </w:rPr>
      </w:pPr>
      <w:r w:rsidRPr="00555A70">
        <w:rPr>
          <w:rFonts w:cs="Arial"/>
          <w:szCs w:val="24"/>
          <w:lang w:eastAsia="en-GB"/>
        </w:rPr>
        <w:t>DLUHC’s (formally MHCLG)</w:t>
      </w:r>
      <w:r w:rsidR="00B46340" w:rsidRPr="00555A70">
        <w:rPr>
          <w:rFonts w:cs="Arial"/>
          <w:szCs w:val="24"/>
          <w:lang w:eastAsia="en-GB"/>
        </w:rPr>
        <w:t xml:space="preserve"> Guidance on Local Government Investments </w:t>
      </w:r>
      <w:r w:rsidRPr="00555A70">
        <w:rPr>
          <w:rFonts w:cs="Arial"/>
          <w:szCs w:val="24"/>
          <w:lang w:eastAsia="en-GB"/>
        </w:rPr>
        <w:t xml:space="preserve">2018 </w:t>
      </w:r>
      <w:r w:rsidR="00B46340" w:rsidRPr="00555A70">
        <w:rPr>
          <w:rFonts w:cs="Arial"/>
          <w:szCs w:val="24"/>
          <w:lang w:eastAsia="en-GB"/>
        </w:rPr>
        <w:t>(“the Guidance”)</w:t>
      </w:r>
    </w:p>
    <w:p w14:paraId="0721671E" w14:textId="2BE0A0CD" w:rsidR="00B46340" w:rsidRPr="00555A70" w:rsidRDefault="00B46340" w:rsidP="0099334D">
      <w:pPr>
        <w:pStyle w:val="ListParagraph"/>
        <w:numPr>
          <w:ilvl w:val="0"/>
          <w:numId w:val="1"/>
        </w:numPr>
        <w:autoSpaceDE w:val="0"/>
        <w:autoSpaceDN w:val="0"/>
        <w:adjustRightInd w:val="0"/>
        <w:ind w:left="284" w:hanging="284"/>
        <w:rPr>
          <w:rFonts w:cs="Arial"/>
          <w:szCs w:val="24"/>
          <w:lang w:eastAsia="en-GB"/>
        </w:rPr>
      </w:pPr>
      <w:r w:rsidRPr="00555A70">
        <w:rPr>
          <w:rFonts w:cs="Arial"/>
          <w:szCs w:val="24"/>
          <w:lang w:eastAsia="en-GB"/>
        </w:rPr>
        <w:t>CIPFA Treasury Management in Public Services Code of Practice and Cross Sectoral Guidance Notes 20</w:t>
      </w:r>
      <w:r w:rsidR="00555A70" w:rsidRPr="00555A70">
        <w:rPr>
          <w:rFonts w:cs="Arial"/>
          <w:szCs w:val="24"/>
          <w:lang w:eastAsia="en-GB"/>
        </w:rPr>
        <w:t>21</w:t>
      </w:r>
      <w:r w:rsidRPr="00555A70">
        <w:rPr>
          <w:rFonts w:cs="Arial"/>
          <w:szCs w:val="24"/>
          <w:lang w:eastAsia="en-GB"/>
        </w:rPr>
        <w:t xml:space="preserve"> (“the Code”) </w:t>
      </w:r>
    </w:p>
    <w:p w14:paraId="277D8E3E" w14:textId="230848F4" w:rsidR="00B46340" w:rsidRPr="00555A70" w:rsidRDefault="00B46340" w:rsidP="0099334D">
      <w:pPr>
        <w:pStyle w:val="ListParagraph"/>
        <w:numPr>
          <w:ilvl w:val="0"/>
          <w:numId w:val="1"/>
        </w:numPr>
        <w:autoSpaceDE w:val="0"/>
        <w:autoSpaceDN w:val="0"/>
        <w:adjustRightInd w:val="0"/>
        <w:ind w:left="284" w:hanging="284"/>
        <w:rPr>
          <w:rFonts w:cs="Arial"/>
          <w:szCs w:val="24"/>
          <w:lang w:eastAsia="en-GB"/>
        </w:rPr>
      </w:pPr>
      <w:r w:rsidRPr="00555A70">
        <w:rPr>
          <w:rFonts w:cs="Arial"/>
          <w:szCs w:val="24"/>
          <w:lang w:eastAsia="en-GB"/>
        </w:rPr>
        <w:t>CIPFA Treasury Management Guidance Notes 2</w:t>
      </w:r>
      <w:r w:rsidR="00555A70" w:rsidRPr="00555A70">
        <w:rPr>
          <w:rFonts w:cs="Arial"/>
          <w:szCs w:val="24"/>
          <w:lang w:eastAsia="en-GB"/>
        </w:rPr>
        <w:t>021</w:t>
      </w:r>
      <w:r w:rsidRPr="00555A70">
        <w:rPr>
          <w:rFonts w:cs="Arial"/>
          <w:szCs w:val="24"/>
          <w:lang w:eastAsia="en-GB"/>
        </w:rPr>
        <w:t xml:space="preserve">  </w:t>
      </w:r>
    </w:p>
    <w:p w14:paraId="16C697AC" w14:textId="77777777" w:rsidR="00B46340" w:rsidRPr="00B46340" w:rsidRDefault="00B46340" w:rsidP="0099334D">
      <w:pPr>
        <w:pStyle w:val="ListParagraph"/>
        <w:tabs>
          <w:tab w:val="left" w:pos="0"/>
        </w:tabs>
        <w:ind w:left="0"/>
        <w:rPr>
          <w:rFonts w:cs="Arial"/>
          <w:szCs w:val="24"/>
          <w:lang w:eastAsia="en-GB"/>
        </w:rPr>
      </w:pPr>
    </w:p>
    <w:p w14:paraId="5BB56F55" w14:textId="25DAC83E" w:rsidR="00B46340" w:rsidRPr="00820F85" w:rsidRDefault="00B46340" w:rsidP="0099334D">
      <w:pPr>
        <w:pStyle w:val="ListParagraph"/>
        <w:numPr>
          <w:ilvl w:val="0"/>
          <w:numId w:val="15"/>
        </w:numPr>
        <w:ind w:left="0" w:hanging="720"/>
        <w:rPr>
          <w:rFonts w:cs="Arial"/>
          <w:bCs/>
          <w:szCs w:val="24"/>
        </w:rPr>
      </w:pPr>
      <w:r w:rsidRPr="00820F85">
        <w:rPr>
          <w:rFonts w:cs="Arial"/>
          <w:bCs/>
          <w:szCs w:val="24"/>
        </w:rPr>
        <w:t>The Council’s investment priorities will be security first, portfolio liquidity second and then yield, (return).</w:t>
      </w:r>
      <w:r w:rsidR="009170DE" w:rsidRPr="00820F85">
        <w:rPr>
          <w:rFonts w:cs="Arial"/>
          <w:bCs/>
          <w:szCs w:val="24"/>
        </w:rPr>
        <w:t xml:space="preserve"> </w:t>
      </w:r>
      <w:r w:rsidRPr="00820F85">
        <w:rPr>
          <w:rFonts w:cs="Arial"/>
          <w:bCs/>
          <w:szCs w:val="24"/>
        </w:rPr>
        <w:t>The Council will aim to achieve the optimum return (yield) on its investments commensurate with proper levels of security and liquidity and with</w:t>
      </w:r>
      <w:r w:rsidR="00F33853">
        <w:rPr>
          <w:rFonts w:cs="Arial"/>
          <w:bCs/>
          <w:szCs w:val="24"/>
        </w:rPr>
        <w:t>in</w:t>
      </w:r>
      <w:r w:rsidRPr="00820F85">
        <w:rPr>
          <w:rFonts w:cs="Arial"/>
          <w:bCs/>
          <w:szCs w:val="24"/>
        </w:rPr>
        <w:t xml:space="preserve"> the Council’s risk appetite. </w:t>
      </w:r>
    </w:p>
    <w:p w14:paraId="5A7D0584" w14:textId="77777777" w:rsidR="00B46340" w:rsidRPr="00820F85" w:rsidRDefault="00B46340" w:rsidP="0099334D">
      <w:pPr>
        <w:pStyle w:val="ListParagraph"/>
        <w:ind w:left="0"/>
        <w:rPr>
          <w:rFonts w:cs="Arial"/>
          <w:bCs/>
          <w:szCs w:val="24"/>
        </w:rPr>
      </w:pPr>
    </w:p>
    <w:p w14:paraId="0949798A" w14:textId="19949ED7" w:rsidR="00B46340" w:rsidRPr="00820F85" w:rsidRDefault="00B46340" w:rsidP="0099334D">
      <w:pPr>
        <w:pStyle w:val="ListParagraph"/>
        <w:numPr>
          <w:ilvl w:val="0"/>
          <w:numId w:val="15"/>
        </w:numPr>
        <w:ind w:left="0" w:hanging="720"/>
        <w:rPr>
          <w:rFonts w:cs="Arial"/>
          <w:bCs/>
          <w:szCs w:val="24"/>
        </w:rPr>
      </w:pPr>
      <w:r w:rsidRPr="00820F85">
        <w:rPr>
          <w:rFonts w:cs="Arial"/>
          <w:bCs/>
          <w:szCs w:val="24"/>
        </w:rPr>
        <w:t xml:space="preserve">The above guidance from the </w:t>
      </w:r>
      <w:r w:rsidR="00660E5A" w:rsidRPr="00820F85">
        <w:rPr>
          <w:rFonts w:cs="Arial"/>
          <w:bCs/>
          <w:szCs w:val="24"/>
        </w:rPr>
        <w:t>DLUHC</w:t>
      </w:r>
      <w:r w:rsidRPr="00820F85">
        <w:rPr>
          <w:rFonts w:cs="Arial"/>
          <w:bCs/>
          <w:szCs w:val="24"/>
        </w:rPr>
        <w:t xml:space="preserve"> and CIPFA places a high priority on the management of risk. This </w:t>
      </w:r>
      <w:r w:rsidR="00660E5A" w:rsidRPr="00820F85">
        <w:rPr>
          <w:rFonts w:cs="Arial"/>
          <w:bCs/>
          <w:szCs w:val="24"/>
        </w:rPr>
        <w:t>A</w:t>
      </w:r>
      <w:r w:rsidRPr="00820F85">
        <w:rPr>
          <w:rFonts w:cs="Arial"/>
          <w:bCs/>
          <w:szCs w:val="24"/>
        </w:rPr>
        <w:t>uthority has adopted a prudent approach to managing risk and defines its risk appetite by the following means: -</w:t>
      </w:r>
    </w:p>
    <w:p w14:paraId="62C85BC7" w14:textId="77777777" w:rsidR="00B46340" w:rsidRPr="00B46340" w:rsidRDefault="00B46340" w:rsidP="0099334D">
      <w:pPr>
        <w:pStyle w:val="ListParagraph"/>
        <w:tabs>
          <w:tab w:val="left" w:pos="0"/>
        </w:tabs>
        <w:ind w:left="0"/>
        <w:rPr>
          <w:rFonts w:cs="Arial"/>
          <w:szCs w:val="24"/>
          <w:lang w:eastAsia="en-GB"/>
        </w:rPr>
      </w:pPr>
    </w:p>
    <w:p w14:paraId="3B75C76C" w14:textId="04024B81" w:rsidR="00B46340" w:rsidRPr="00660E5A" w:rsidRDefault="00B46340" w:rsidP="0099334D">
      <w:pPr>
        <w:pStyle w:val="ListParagraph"/>
        <w:numPr>
          <w:ilvl w:val="0"/>
          <w:numId w:val="1"/>
        </w:numPr>
        <w:autoSpaceDE w:val="0"/>
        <w:autoSpaceDN w:val="0"/>
        <w:adjustRightInd w:val="0"/>
        <w:ind w:left="284" w:hanging="284"/>
        <w:rPr>
          <w:rFonts w:cs="Arial"/>
          <w:szCs w:val="24"/>
          <w:lang w:eastAsia="en-GB"/>
        </w:rPr>
      </w:pPr>
      <w:r w:rsidRPr="00660E5A">
        <w:rPr>
          <w:rFonts w:cs="Arial"/>
          <w:szCs w:val="24"/>
          <w:lang w:eastAsia="en-GB"/>
        </w:rPr>
        <w:t xml:space="preserve">Minimum acceptable </w:t>
      </w:r>
      <w:r w:rsidRPr="00660E5A">
        <w:rPr>
          <w:rFonts w:cs="Arial"/>
          <w:b/>
          <w:bCs/>
          <w:szCs w:val="24"/>
          <w:lang w:eastAsia="en-GB"/>
        </w:rPr>
        <w:t>credit criteria</w:t>
      </w:r>
      <w:r w:rsidRPr="00660E5A">
        <w:rPr>
          <w:rFonts w:cs="Arial"/>
          <w:szCs w:val="24"/>
          <w:lang w:eastAsia="en-GB"/>
        </w:rPr>
        <w:t xml:space="preserve"> are applied </w:t>
      </w:r>
      <w:r w:rsidR="00660E5A" w:rsidRPr="00660E5A">
        <w:rPr>
          <w:rFonts w:cs="Arial"/>
          <w:szCs w:val="24"/>
          <w:lang w:eastAsia="en-GB"/>
        </w:rPr>
        <w:t>to</w:t>
      </w:r>
      <w:r w:rsidRPr="00660E5A">
        <w:rPr>
          <w:rFonts w:cs="Arial"/>
          <w:szCs w:val="24"/>
          <w:lang w:eastAsia="en-GB"/>
        </w:rPr>
        <w:t xml:space="preserve"> generate a list of highly creditworthy counterparties.  This also enables diversification and thus avoidance of concentration risk. The key ratings used to monitor counterparties are short term and long-term ratings.  </w:t>
      </w:r>
    </w:p>
    <w:p w14:paraId="307043D1" w14:textId="77777777" w:rsidR="00B46340" w:rsidRPr="00B46340" w:rsidRDefault="00B46340" w:rsidP="0099334D">
      <w:pPr>
        <w:pStyle w:val="ListParagraph"/>
        <w:autoSpaceDE w:val="0"/>
        <w:autoSpaceDN w:val="0"/>
        <w:adjustRightInd w:val="0"/>
        <w:ind w:left="284"/>
        <w:rPr>
          <w:rFonts w:cs="Arial"/>
          <w:szCs w:val="24"/>
          <w:lang w:eastAsia="en-GB"/>
        </w:rPr>
      </w:pPr>
    </w:p>
    <w:p w14:paraId="5DE66AA3" w14:textId="77777777" w:rsidR="00B46340" w:rsidRPr="00B46340" w:rsidRDefault="00B46340" w:rsidP="0099334D">
      <w:pPr>
        <w:pStyle w:val="ListParagraph"/>
        <w:numPr>
          <w:ilvl w:val="0"/>
          <w:numId w:val="1"/>
        </w:numPr>
        <w:autoSpaceDE w:val="0"/>
        <w:autoSpaceDN w:val="0"/>
        <w:adjustRightInd w:val="0"/>
        <w:ind w:left="284" w:hanging="284"/>
        <w:rPr>
          <w:rFonts w:cs="Arial"/>
          <w:szCs w:val="24"/>
          <w:lang w:eastAsia="en-GB"/>
        </w:rPr>
      </w:pPr>
      <w:r w:rsidRPr="00660E5A">
        <w:rPr>
          <w:rFonts w:cs="Arial"/>
          <w:b/>
          <w:bCs/>
          <w:szCs w:val="24"/>
          <w:lang w:eastAsia="en-GB"/>
        </w:rPr>
        <w:t>Other information</w:t>
      </w:r>
      <w:r w:rsidRPr="00660E5A">
        <w:rPr>
          <w:rFonts w:cs="Arial"/>
          <w:szCs w:val="24"/>
          <w:lang w:eastAsia="en-GB"/>
        </w:rPr>
        <w:t>:</w:t>
      </w:r>
      <w:r w:rsidRPr="00B46340">
        <w:rPr>
          <w:rFonts w:cs="Arial"/>
          <w:szCs w:val="24"/>
          <w:lang w:eastAsia="en-GB"/>
        </w:rPr>
        <w:t xml:space="preserve"> ratings will not be the sole determinant of the quality of an institution; it is important to continually assess and monitor the financial sector on both a micro and macro basis and in relation to the economic and political environments in which institutions operate. The assessment will also take account of information that reflects the opinion of the markets. To achieve this consideration the Council will engage with its advisors to maintain a monitor on market pricing such as </w:t>
      </w:r>
      <w:r w:rsidRPr="00660E5A">
        <w:rPr>
          <w:rFonts w:cs="Arial"/>
          <w:b/>
          <w:bCs/>
          <w:szCs w:val="24"/>
          <w:lang w:eastAsia="en-GB"/>
        </w:rPr>
        <w:t>“credit default swaps”</w:t>
      </w:r>
      <w:r w:rsidRPr="00B46340">
        <w:rPr>
          <w:rFonts w:cs="Arial"/>
          <w:szCs w:val="24"/>
          <w:lang w:eastAsia="en-GB"/>
        </w:rPr>
        <w:t xml:space="preserve"> and overlay that information on top of the credit ratings. </w:t>
      </w:r>
    </w:p>
    <w:p w14:paraId="6B95D484" w14:textId="77777777" w:rsidR="00B46340" w:rsidRPr="00B46340" w:rsidRDefault="00B46340" w:rsidP="0099334D">
      <w:pPr>
        <w:pStyle w:val="ListParagraph"/>
        <w:tabs>
          <w:tab w:val="left" w:pos="0"/>
        </w:tabs>
        <w:ind w:left="0"/>
        <w:rPr>
          <w:rFonts w:cs="Arial"/>
          <w:szCs w:val="24"/>
          <w:lang w:eastAsia="en-GB"/>
        </w:rPr>
      </w:pPr>
    </w:p>
    <w:p w14:paraId="6E06BBF8" w14:textId="77777777" w:rsidR="00B46340" w:rsidRPr="00C86ED5" w:rsidRDefault="00B46340" w:rsidP="0099334D">
      <w:pPr>
        <w:pStyle w:val="ListParagraph"/>
        <w:numPr>
          <w:ilvl w:val="0"/>
          <w:numId w:val="1"/>
        </w:numPr>
        <w:autoSpaceDE w:val="0"/>
        <w:autoSpaceDN w:val="0"/>
        <w:adjustRightInd w:val="0"/>
        <w:ind w:left="284" w:hanging="284"/>
        <w:rPr>
          <w:rFonts w:cs="Arial"/>
          <w:szCs w:val="24"/>
          <w:lang w:eastAsia="en-GB"/>
        </w:rPr>
      </w:pPr>
      <w:r w:rsidRPr="00C86ED5">
        <w:rPr>
          <w:rFonts w:cs="Arial"/>
          <w:b/>
          <w:bCs/>
          <w:szCs w:val="24"/>
          <w:lang w:eastAsia="en-GB"/>
        </w:rPr>
        <w:t>Other information sources</w:t>
      </w:r>
      <w:r w:rsidRPr="00C86ED5">
        <w:rPr>
          <w:rFonts w:cs="Arial"/>
          <w:szCs w:val="24"/>
          <w:lang w:eastAsia="en-GB"/>
        </w:rPr>
        <w:t xml:space="preserve"> used will include the financial press, share price and other such information pertaining to the financial sector </w:t>
      </w:r>
      <w:proofErr w:type="gramStart"/>
      <w:r w:rsidRPr="00C86ED5">
        <w:rPr>
          <w:rFonts w:cs="Arial"/>
          <w:szCs w:val="24"/>
          <w:lang w:eastAsia="en-GB"/>
        </w:rPr>
        <w:t>in order to</w:t>
      </w:r>
      <w:proofErr w:type="gramEnd"/>
      <w:r w:rsidRPr="00C86ED5">
        <w:rPr>
          <w:rFonts w:cs="Arial"/>
          <w:szCs w:val="24"/>
          <w:lang w:eastAsia="en-GB"/>
        </w:rPr>
        <w:t xml:space="preserve"> establish the most robust scrutiny process on the suitability of potential investment counterparties.</w:t>
      </w:r>
    </w:p>
    <w:p w14:paraId="13660837" w14:textId="77777777" w:rsidR="00B46340" w:rsidRPr="00987D38" w:rsidRDefault="00B46340" w:rsidP="0099334D">
      <w:pPr>
        <w:pStyle w:val="ListParagraph"/>
        <w:ind w:left="709" w:hanging="283"/>
        <w:rPr>
          <w:rFonts w:cs="Arial"/>
        </w:rPr>
      </w:pPr>
    </w:p>
    <w:p w14:paraId="01072F08" w14:textId="18633053" w:rsidR="00C86ED5" w:rsidRPr="009170DE" w:rsidRDefault="00B46340" w:rsidP="0099334D">
      <w:pPr>
        <w:pStyle w:val="ListParagraph"/>
        <w:numPr>
          <w:ilvl w:val="0"/>
          <w:numId w:val="1"/>
        </w:numPr>
        <w:autoSpaceDE w:val="0"/>
        <w:autoSpaceDN w:val="0"/>
        <w:adjustRightInd w:val="0"/>
        <w:ind w:left="284" w:hanging="284"/>
        <w:rPr>
          <w:rFonts w:cs="Arial"/>
          <w:szCs w:val="24"/>
          <w:lang w:eastAsia="en-GB"/>
        </w:rPr>
      </w:pPr>
      <w:r w:rsidRPr="009170DE">
        <w:rPr>
          <w:rFonts w:cs="Arial"/>
          <w:szCs w:val="24"/>
          <w:lang w:eastAsia="en-GB"/>
        </w:rPr>
        <w:t xml:space="preserve">This </w:t>
      </w:r>
      <w:r w:rsidR="00CC5194">
        <w:rPr>
          <w:rFonts w:cs="Arial"/>
          <w:szCs w:val="24"/>
          <w:lang w:eastAsia="en-GB"/>
        </w:rPr>
        <w:t>A</w:t>
      </w:r>
      <w:r w:rsidRPr="009170DE">
        <w:rPr>
          <w:rFonts w:cs="Arial"/>
          <w:szCs w:val="24"/>
          <w:lang w:eastAsia="en-GB"/>
        </w:rPr>
        <w:t xml:space="preserve">uthority has defined the list of </w:t>
      </w:r>
      <w:r w:rsidRPr="009170DE">
        <w:rPr>
          <w:rFonts w:cs="Arial"/>
          <w:b/>
          <w:bCs/>
          <w:szCs w:val="24"/>
          <w:lang w:eastAsia="en-GB"/>
        </w:rPr>
        <w:t>types of investment instruments</w:t>
      </w:r>
      <w:r w:rsidRPr="009170DE">
        <w:rPr>
          <w:rFonts w:cs="Arial"/>
          <w:szCs w:val="24"/>
          <w:lang w:eastAsia="en-GB"/>
        </w:rPr>
        <w:t xml:space="preserve"> that the treasury management team are authorised to use</w:t>
      </w:r>
      <w:r w:rsidR="00CC5194">
        <w:rPr>
          <w:rFonts w:cs="Arial"/>
          <w:szCs w:val="24"/>
          <w:lang w:eastAsia="en-GB"/>
        </w:rPr>
        <w:t>, which are classified as either specified investments or non-specified investments in accordance with the DLUHC</w:t>
      </w:r>
      <w:r w:rsidR="00F33853">
        <w:rPr>
          <w:rFonts w:cs="Arial"/>
          <w:szCs w:val="24"/>
          <w:lang w:eastAsia="en-GB"/>
        </w:rPr>
        <w:t xml:space="preserve"> (previously MHCLG)</w:t>
      </w:r>
      <w:r w:rsidR="00CC5194">
        <w:rPr>
          <w:rFonts w:cs="Arial"/>
          <w:szCs w:val="24"/>
          <w:lang w:eastAsia="en-GB"/>
        </w:rPr>
        <w:t xml:space="preserve"> Investment Guidance, last updated in 2018</w:t>
      </w:r>
      <w:r w:rsidRPr="009170DE">
        <w:rPr>
          <w:rFonts w:cs="Arial"/>
          <w:szCs w:val="24"/>
          <w:lang w:eastAsia="en-GB"/>
        </w:rPr>
        <w:t xml:space="preserve">. </w:t>
      </w:r>
    </w:p>
    <w:p w14:paraId="0BA3E8FA" w14:textId="77777777" w:rsidR="00C86ED5" w:rsidRPr="00C86ED5" w:rsidRDefault="00C86ED5" w:rsidP="0099334D">
      <w:pPr>
        <w:pStyle w:val="ListParagraph"/>
        <w:rPr>
          <w:rFonts w:cs="Arial"/>
          <w:szCs w:val="24"/>
          <w:lang w:eastAsia="en-GB"/>
        </w:rPr>
      </w:pPr>
    </w:p>
    <w:p w14:paraId="3529E87C" w14:textId="77777777" w:rsidR="00C86ED5" w:rsidRDefault="00B46340" w:rsidP="0099334D">
      <w:pPr>
        <w:pStyle w:val="ListParagraph"/>
        <w:numPr>
          <w:ilvl w:val="0"/>
          <w:numId w:val="16"/>
        </w:numPr>
        <w:autoSpaceDE w:val="0"/>
        <w:autoSpaceDN w:val="0"/>
        <w:adjustRightInd w:val="0"/>
        <w:rPr>
          <w:rFonts w:cs="Arial"/>
          <w:szCs w:val="24"/>
          <w:lang w:eastAsia="en-GB"/>
        </w:rPr>
      </w:pPr>
      <w:r w:rsidRPr="00C86ED5">
        <w:rPr>
          <w:rFonts w:cs="Arial"/>
          <w:b/>
          <w:bCs/>
          <w:szCs w:val="24"/>
          <w:lang w:eastAsia="en-GB"/>
        </w:rPr>
        <w:t>Specified investments</w:t>
      </w:r>
      <w:r w:rsidRPr="00C86ED5">
        <w:rPr>
          <w:rFonts w:cs="Arial"/>
          <w:szCs w:val="24"/>
          <w:lang w:eastAsia="en-GB"/>
        </w:rPr>
        <w:t xml:space="preserve"> are those with a high level of credit quality and subject to a maturity limit of one year</w:t>
      </w:r>
      <w:r w:rsidR="00660E5A" w:rsidRPr="00C86ED5">
        <w:rPr>
          <w:rFonts w:cs="Arial"/>
          <w:szCs w:val="24"/>
          <w:lang w:eastAsia="en-GB"/>
        </w:rPr>
        <w:t>.</w:t>
      </w:r>
      <w:r w:rsidRPr="00C86ED5">
        <w:rPr>
          <w:rFonts w:cs="Arial"/>
          <w:szCs w:val="24"/>
          <w:lang w:eastAsia="en-GB"/>
        </w:rPr>
        <w:t xml:space="preserve"> </w:t>
      </w:r>
    </w:p>
    <w:p w14:paraId="166909D2" w14:textId="7D2E848B" w:rsidR="00B46340" w:rsidRPr="00C86ED5" w:rsidRDefault="00B46340" w:rsidP="0099334D">
      <w:pPr>
        <w:pStyle w:val="ListParagraph"/>
        <w:numPr>
          <w:ilvl w:val="0"/>
          <w:numId w:val="16"/>
        </w:numPr>
        <w:autoSpaceDE w:val="0"/>
        <w:autoSpaceDN w:val="0"/>
        <w:adjustRightInd w:val="0"/>
        <w:rPr>
          <w:rFonts w:cs="Arial"/>
          <w:szCs w:val="24"/>
          <w:lang w:eastAsia="en-GB"/>
        </w:rPr>
      </w:pPr>
      <w:r w:rsidRPr="00C86ED5">
        <w:rPr>
          <w:rFonts w:cs="Arial"/>
          <w:b/>
          <w:bCs/>
          <w:szCs w:val="24"/>
          <w:lang w:eastAsia="en-GB"/>
        </w:rPr>
        <w:t>Non-specified investments</w:t>
      </w:r>
      <w:r w:rsidRPr="00C86ED5">
        <w:rPr>
          <w:rFonts w:cs="Arial"/>
          <w:szCs w:val="24"/>
          <w:lang w:eastAsia="en-GB"/>
        </w:rPr>
        <w:t xml:space="preserve"> are</w:t>
      </w:r>
      <w:r w:rsidR="00555A70">
        <w:rPr>
          <w:rFonts w:cs="Arial"/>
          <w:szCs w:val="24"/>
          <w:lang w:eastAsia="en-GB"/>
        </w:rPr>
        <w:t xml:space="preserve"> long term investments with high credit quality, investments of any duration with</w:t>
      </w:r>
      <w:r w:rsidRPr="00C86ED5">
        <w:rPr>
          <w:rFonts w:cs="Arial"/>
          <w:szCs w:val="24"/>
          <w:lang w:eastAsia="en-GB"/>
        </w:rPr>
        <w:t xml:space="preserve"> </w:t>
      </w:r>
      <w:r w:rsidR="00555A70">
        <w:rPr>
          <w:rFonts w:cs="Arial"/>
          <w:szCs w:val="24"/>
          <w:lang w:eastAsia="en-GB"/>
        </w:rPr>
        <w:t xml:space="preserve">counterparties recognised as </w:t>
      </w:r>
      <w:r w:rsidRPr="00C86ED5">
        <w:rPr>
          <w:rFonts w:cs="Arial"/>
          <w:szCs w:val="24"/>
          <w:lang w:eastAsia="en-GB"/>
        </w:rPr>
        <w:t xml:space="preserve">less high credit quality, and/or more complex instruments which require greater consideration by members and officers before being authorised for use. </w:t>
      </w:r>
    </w:p>
    <w:p w14:paraId="56AA7110" w14:textId="77777777" w:rsidR="00B46340" w:rsidRPr="00B46340" w:rsidRDefault="00B46340" w:rsidP="0099334D">
      <w:pPr>
        <w:pStyle w:val="ListParagraph"/>
        <w:tabs>
          <w:tab w:val="left" w:pos="0"/>
        </w:tabs>
        <w:ind w:left="0"/>
        <w:rPr>
          <w:rFonts w:cs="Arial"/>
          <w:szCs w:val="24"/>
          <w:lang w:eastAsia="en-GB"/>
        </w:rPr>
      </w:pPr>
    </w:p>
    <w:p w14:paraId="08B61B9D" w14:textId="18CB6D39" w:rsidR="00C86ED5" w:rsidRPr="00820F85" w:rsidRDefault="00C86ED5" w:rsidP="0099334D">
      <w:pPr>
        <w:pStyle w:val="ListParagraph"/>
        <w:numPr>
          <w:ilvl w:val="0"/>
          <w:numId w:val="15"/>
        </w:numPr>
        <w:ind w:left="0" w:hanging="720"/>
        <w:rPr>
          <w:rFonts w:cs="Arial"/>
          <w:bCs/>
          <w:szCs w:val="24"/>
        </w:rPr>
      </w:pPr>
      <w:bookmarkStart w:id="11" w:name="_Hlk94850728"/>
      <w:r w:rsidRPr="00820F85">
        <w:rPr>
          <w:rFonts w:cs="Arial"/>
          <w:bCs/>
          <w:szCs w:val="24"/>
        </w:rPr>
        <w:lastRenderedPageBreak/>
        <w:t>The Council acknowledges that both specified and non-specified investments may be subject to valuation changes, both positive and negative, prior to maturing. The Director of Finance will take all reasonable steps to ensure that day to day liquidity does not rely on the sale of such investments prior to maturity, and therefore that the Council is not exposed to realising any losses. Moreover, the Director will take measures to ensure that any potential unrealised gains or losses are proportionate to revenue budgets and reserves</w:t>
      </w:r>
      <w:r w:rsidR="000241D4">
        <w:rPr>
          <w:rFonts w:cs="Arial"/>
          <w:bCs/>
          <w:szCs w:val="24"/>
        </w:rPr>
        <w:t>.</w:t>
      </w:r>
    </w:p>
    <w:bookmarkEnd w:id="11"/>
    <w:p w14:paraId="1EB95AF5" w14:textId="77777777" w:rsidR="00C86ED5" w:rsidRPr="00820F85" w:rsidRDefault="00C86ED5" w:rsidP="0099334D">
      <w:pPr>
        <w:pStyle w:val="ListParagraph"/>
        <w:ind w:left="0"/>
        <w:rPr>
          <w:rFonts w:cs="Arial"/>
          <w:bCs/>
          <w:szCs w:val="24"/>
        </w:rPr>
      </w:pPr>
    </w:p>
    <w:p w14:paraId="63C0605B" w14:textId="47E32DDD" w:rsidR="00B46340" w:rsidRPr="00820F85" w:rsidRDefault="00B46340" w:rsidP="0099334D">
      <w:pPr>
        <w:pStyle w:val="ListParagraph"/>
        <w:numPr>
          <w:ilvl w:val="0"/>
          <w:numId w:val="15"/>
        </w:numPr>
        <w:ind w:left="0" w:hanging="720"/>
        <w:rPr>
          <w:rFonts w:cs="Arial"/>
          <w:bCs/>
          <w:szCs w:val="24"/>
        </w:rPr>
      </w:pPr>
      <w:r w:rsidRPr="00820F85">
        <w:rPr>
          <w:rFonts w:cs="Arial"/>
          <w:bCs/>
          <w:szCs w:val="24"/>
        </w:rPr>
        <w:t xml:space="preserve">However, this </w:t>
      </w:r>
      <w:r w:rsidR="00660E5A" w:rsidRPr="00820F85">
        <w:rPr>
          <w:rFonts w:cs="Arial"/>
          <w:bCs/>
          <w:szCs w:val="24"/>
        </w:rPr>
        <w:t>A</w:t>
      </w:r>
      <w:r w:rsidRPr="00820F85">
        <w:rPr>
          <w:rFonts w:cs="Arial"/>
          <w:bCs/>
          <w:szCs w:val="24"/>
        </w:rPr>
        <w:t xml:space="preserve">uthority will also pursue </w:t>
      </w:r>
      <w:r w:rsidRPr="00820F85">
        <w:rPr>
          <w:rFonts w:cs="Arial"/>
          <w:b/>
          <w:szCs w:val="24"/>
        </w:rPr>
        <w:t>value for money</w:t>
      </w:r>
      <w:r w:rsidRPr="00820F85">
        <w:rPr>
          <w:rFonts w:cs="Arial"/>
          <w:bCs/>
          <w:szCs w:val="24"/>
        </w:rPr>
        <w:t xml:space="preserve"> in treasury management and will monitor the yield from investment income against appropriate benchmarks for investment performance.  Regular monitoring of investment performance will be carried out during the year.</w:t>
      </w:r>
    </w:p>
    <w:p w14:paraId="4D844740" w14:textId="272CDED9" w:rsidR="00B46340" w:rsidRPr="00F53609" w:rsidRDefault="00B46340" w:rsidP="0099334D">
      <w:pPr>
        <w:pStyle w:val="subhead"/>
        <w:numPr>
          <w:ilvl w:val="0"/>
          <w:numId w:val="0"/>
        </w:numPr>
        <w:ind w:left="360" w:hanging="360"/>
        <w:jc w:val="left"/>
        <w:rPr>
          <w:noProof w:val="0"/>
          <w:sz w:val="24"/>
          <w:szCs w:val="24"/>
        </w:rPr>
      </w:pPr>
      <w:bookmarkStart w:id="12" w:name="_Toc60749557"/>
      <w:r w:rsidRPr="00F53609">
        <w:rPr>
          <w:noProof w:val="0"/>
          <w:sz w:val="24"/>
          <w:szCs w:val="24"/>
        </w:rPr>
        <w:t>Creditworthiness policy</w:t>
      </w:r>
      <w:bookmarkEnd w:id="12"/>
    </w:p>
    <w:p w14:paraId="3A3F225B" w14:textId="723434FC" w:rsidR="00B46340" w:rsidRPr="00820F85" w:rsidRDefault="00B46340" w:rsidP="0099334D">
      <w:pPr>
        <w:pStyle w:val="ListParagraph"/>
        <w:numPr>
          <w:ilvl w:val="0"/>
          <w:numId w:val="15"/>
        </w:numPr>
        <w:ind w:left="0" w:hanging="720"/>
        <w:rPr>
          <w:rFonts w:cs="Arial"/>
          <w:bCs/>
          <w:szCs w:val="24"/>
        </w:rPr>
      </w:pPr>
      <w:r w:rsidRPr="00820F85">
        <w:rPr>
          <w:rFonts w:cs="Arial"/>
          <w:bCs/>
          <w:szCs w:val="24"/>
        </w:rPr>
        <w:t>The primary principle governing the Council’s investment criteria is the security of its investments,</w:t>
      </w:r>
      <w:r w:rsidR="000241D4">
        <w:rPr>
          <w:rFonts w:cs="Arial"/>
          <w:bCs/>
          <w:szCs w:val="24"/>
        </w:rPr>
        <w:t xml:space="preserve"> followed by ensuring sufficient liquidity</w:t>
      </w:r>
      <w:r w:rsidRPr="00820F85">
        <w:rPr>
          <w:rFonts w:cs="Arial"/>
          <w:bCs/>
          <w:szCs w:val="24"/>
        </w:rPr>
        <w:t xml:space="preserve"> although the return on the investment is also a key consideration. After this main principle, the Council will ensure that: </w:t>
      </w:r>
    </w:p>
    <w:p w14:paraId="2315CB23" w14:textId="77777777" w:rsidR="00B46340" w:rsidRPr="00F53609" w:rsidRDefault="00B46340" w:rsidP="0099334D">
      <w:pPr>
        <w:pStyle w:val="ListParagraph"/>
        <w:tabs>
          <w:tab w:val="left" w:pos="0"/>
        </w:tabs>
        <w:ind w:left="0"/>
        <w:rPr>
          <w:rFonts w:cs="Arial"/>
          <w:szCs w:val="24"/>
          <w:lang w:eastAsia="en-GB"/>
        </w:rPr>
      </w:pPr>
    </w:p>
    <w:p w14:paraId="161EBB89" w14:textId="77777777" w:rsidR="00B46340" w:rsidRPr="00F23816" w:rsidRDefault="00B46340" w:rsidP="0099334D">
      <w:pPr>
        <w:pStyle w:val="ListParagraph"/>
        <w:numPr>
          <w:ilvl w:val="0"/>
          <w:numId w:val="1"/>
        </w:numPr>
        <w:autoSpaceDE w:val="0"/>
        <w:autoSpaceDN w:val="0"/>
        <w:adjustRightInd w:val="0"/>
        <w:rPr>
          <w:rFonts w:cs="Arial"/>
          <w:szCs w:val="24"/>
          <w:lang w:eastAsia="en-GB"/>
        </w:rPr>
      </w:pPr>
      <w:r w:rsidRPr="00F23816">
        <w:rPr>
          <w:rFonts w:cs="Arial"/>
          <w:szCs w:val="24"/>
          <w:lang w:eastAsia="en-GB"/>
        </w:rPr>
        <w:t xml:space="preserve">It maintains a policy covering both the categories of investment types it will invest in, criteria for choosing investment counterparties with adequate security, and monitoring their security. </w:t>
      </w:r>
    </w:p>
    <w:p w14:paraId="340D24A0" w14:textId="77777777" w:rsidR="00B46340" w:rsidRPr="00F53609" w:rsidRDefault="00B46340" w:rsidP="0099334D">
      <w:pPr>
        <w:pStyle w:val="ListParagraph"/>
        <w:tabs>
          <w:tab w:val="left" w:pos="0"/>
        </w:tabs>
        <w:ind w:left="0"/>
        <w:rPr>
          <w:rFonts w:cs="Arial"/>
          <w:szCs w:val="24"/>
          <w:lang w:eastAsia="en-GB"/>
        </w:rPr>
      </w:pPr>
    </w:p>
    <w:p w14:paraId="23A927E9" w14:textId="77777777" w:rsidR="00F23816" w:rsidRDefault="00B46340" w:rsidP="0099334D">
      <w:pPr>
        <w:pStyle w:val="ListParagraph"/>
        <w:numPr>
          <w:ilvl w:val="0"/>
          <w:numId w:val="1"/>
        </w:numPr>
        <w:autoSpaceDE w:val="0"/>
        <w:autoSpaceDN w:val="0"/>
        <w:adjustRightInd w:val="0"/>
        <w:rPr>
          <w:rFonts w:cs="Arial"/>
          <w:szCs w:val="24"/>
          <w:lang w:eastAsia="en-GB"/>
        </w:rPr>
      </w:pPr>
      <w:r w:rsidRPr="00F53609">
        <w:rPr>
          <w:rFonts w:cs="Arial"/>
          <w:szCs w:val="24"/>
          <w:lang w:eastAsia="en-GB"/>
        </w:rPr>
        <w:t xml:space="preserve">It has sufficient liquidity in its investments. For this </w:t>
      </w:r>
      <w:proofErr w:type="gramStart"/>
      <w:r w:rsidRPr="00F53609">
        <w:rPr>
          <w:rFonts w:cs="Arial"/>
          <w:szCs w:val="24"/>
          <w:lang w:eastAsia="en-GB"/>
        </w:rPr>
        <w:t>purpose</w:t>
      </w:r>
      <w:proofErr w:type="gramEnd"/>
      <w:r w:rsidRPr="00F53609">
        <w:rPr>
          <w:rFonts w:cs="Arial"/>
          <w:szCs w:val="24"/>
          <w:lang w:eastAsia="en-GB"/>
        </w:rPr>
        <w:t xml:space="preserve"> it will set out procedures for determining the maximum periods for which funds may prudently be committed. These procedures also apply </w:t>
      </w:r>
      <w:r w:rsidRPr="00F046B4">
        <w:rPr>
          <w:rFonts w:cs="Arial"/>
          <w:szCs w:val="24"/>
          <w:lang w:eastAsia="en-GB"/>
        </w:rPr>
        <w:t xml:space="preserve">to the Council’s prudential indicators covering the maximum principal sums invested. </w:t>
      </w:r>
      <w:bookmarkStart w:id="13" w:name="_Hlk94782975"/>
    </w:p>
    <w:p w14:paraId="2B6CCAFF" w14:textId="77777777" w:rsidR="00F23816" w:rsidRPr="00F23816" w:rsidRDefault="00F23816" w:rsidP="0099334D">
      <w:pPr>
        <w:pStyle w:val="ListParagraph"/>
        <w:rPr>
          <w:rFonts w:cs="Arial"/>
          <w:szCs w:val="24"/>
          <w:lang w:eastAsia="en-GB"/>
        </w:rPr>
      </w:pPr>
    </w:p>
    <w:p w14:paraId="7742EE41" w14:textId="0F5B9ECB" w:rsidR="00B46340" w:rsidRPr="00820F85" w:rsidRDefault="00B46340" w:rsidP="0099334D">
      <w:pPr>
        <w:pStyle w:val="ListParagraph"/>
        <w:numPr>
          <w:ilvl w:val="0"/>
          <w:numId w:val="15"/>
        </w:numPr>
        <w:ind w:left="0" w:hanging="720"/>
        <w:rPr>
          <w:rFonts w:cs="Arial"/>
          <w:bCs/>
          <w:szCs w:val="24"/>
        </w:rPr>
      </w:pPr>
      <w:r w:rsidRPr="00820F85">
        <w:rPr>
          <w:rFonts w:cs="Arial"/>
          <w:bCs/>
          <w:szCs w:val="24"/>
        </w:rPr>
        <w:t xml:space="preserve">The Director of Finance will maintain a counterparty list in compliance with the criteria detailed in </w:t>
      </w:r>
      <w:r w:rsidRPr="00CC5194">
        <w:rPr>
          <w:rFonts w:cs="Arial"/>
          <w:bCs/>
          <w:szCs w:val="24"/>
        </w:rPr>
        <w:t>Appendix F</w:t>
      </w:r>
      <w:r w:rsidRPr="00820F85">
        <w:rPr>
          <w:rFonts w:cs="Arial"/>
          <w:bCs/>
          <w:szCs w:val="24"/>
        </w:rPr>
        <w:t xml:space="preserve"> and will revise the criteria and submit any changes to Council for approval as necessary.</w:t>
      </w:r>
      <w:bookmarkEnd w:id="13"/>
      <w:r w:rsidRPr="00820F85">
        <w:rPr>
          <w:rFonts w:cs="Arial"/>
          <w:bCs/>
          <w:szCs w:val="24"/>
        </w:rPr>
        <w:t xml:space="preserve"> These criteria are separate to those which determine which types of investment instrument are either specified or non-specified as they provide an overall pool of counterparties considered high quality which the Council may use, rather than defining what types of investment instruments are to be used. </w:t>
      </w:r>
    </w:p>
    <w:p w14:paraId="5DBB358A" w14:textId="77777777" w:rsidR="00B46340" w:rsidRPr="00F53609" w:rsidRDefault="00B46340" w:rsidP="0099334D">
      <w:pPr>
        <w:pStyle w:val="ListParagraph"/>
        <w:tabs>
          <w:tab w:val="left" w:pos="0"/>
        </w:tabs>
        <w:ind w:left="0"/>
        <w:rPr>
          <w:rFonts w:cs="Arial"/>
          <w:szCs w:val="24"/>
          <w:lang w:eastAsia="en-GB"/>
        </w:rPr>
      </w:pPr>
    </w:p>
    <w:p w14:paraId="73C16E4E" w14:textId="474081A6" w:rsidR="00247E4E" w:rsidRPr="00820F85" w:rsidRDefault="00B46340" w:rsidP="0099334D">
      <w:pPr>
        <w:pStyle w:val="ListParagraph"/>
        <w:numPr>
          <w:ilvl w:val="0"/>
          <w:numId w:val="15"/>
        </w:numPr>
        <w:ind w:left="0" w:hanging="720"/>
        <w:rPr>
          <w:rFonts w:cs="Arial"/>
          <w:bCs/>
          <w:szCs w:val="24"/>
        </w:rPr>
      </w:pPr>
      <w:bookmarkStart w:id="14" w:name="_Hlk94850827"/>
      <w:r w:rsidRPr="00820F85">
        <w:rPr>
          <w:rFonts w:cs="Arial"/>
          <w:bCs/>
          <w:szCs w:val="24"/>
        </w:rPr>
        <w:t>The minimum rating criteria uses the lowest common denominator method of selecting counterparties and applying limits</w:t>
      </w:r>
      <w:r w:rsidR="00247E4E" w:rsidRPr="00820F85">
        <w:rPr>
          <w:rFonts w:cs="Arial"/>
          <w:bCs/>
          <w:szCs w:val="24"/>
        </w:rPr>
        <w:t>, unless in the opinion of the Director of Finance, or a delegated manager authorised under the Financial Services and Markets Act 2000 (FSMA), there is an overriding reason to favour or disregard a particular agency’s view</w:t>
      </w:r>
      <w:r w:rsidRPr="00820F85">
        <w:rPr>
          <w:rFonts w:cs="Arial"/>
          <w:bCs/>
          <w:szCs w:val="24"/>
        </w:rPr>
        <w:t xml:space="preserve">. This means that the application of the Council’s minimum criteria will apply to the lowest available rating for any institution.  For instance, if an institution is rated by two agencies, one meets the Council’s criteria, the other does not, and the institution will fall outside the lending criteria.   </w:t>
      </w:r>
      <w:bookmarkStart w:id="15" w:name="_Hlk94783086"/>
    </w:p>
    <w:bookmarkEnd w:id="14"/>
    <w:bookmarkEnd w:id="15"/>
    <w:p w14:paraId="4959CC33" w14:textId="77777777" w:rsidR="00B46340" w:rsidRPr="00F53609" w:rsidRDefault="00B46340" w:rsidP="0099334D">
      <w:pPr>
        <w:pStyle w:val="ListParagraph"/>
        <w:tabs>
          <w:tab w:val="left" w:pos="0"/>
        </w:tabs>
        <w:ind w:left="0"/>
        <w:rPr>
          <w:rFonts w:cs="Arial"/>
          <w:szCs w:val="24"/>
          <w:lang w:eastAsia="en-GB"/>
        </w:rPr>
      </w:pPr>
    </w:p>
    <w:p w14:paraId="14FB8F48" w14:textId="725E70C8" w:rsidR="00B46340" w:rsidRPr="00820F85" w:rsidRDefault="00B46340" w:rsidP="0099334D">
      <w:pPr>
        <w:pStyle w:val="ListParagraph"/>
        <w:numPr>
          <w:ilvl w:val="0"/>
          <w:numId w:val="15"/>
        </w:numPr>
        <w:ind w:left="0" w:hanging="720"/>
        <w:rPr>
          <w:rFonts w:cs="Arial"/>
          <w:bCs/>
          <w:szCs w:val="24"/>
        </w:rPr>
      </w:pPr>
      <w:r w:rsidRPr="00820F85">
        <w:rPr>
          <w:rFonts w:cs="Arial"/>
          <w:bCs/>
          <w:szCs w:val="24"/>
        </w:rPr>
        <w:t xml:space="preserve">Credit rating information is supplied by the </w:t>
      </w:r>
      <w:r w:rsidR="008636DA" w:rsidRPr="00820F85">
        <w:rPr>
          <w:rFonts w:cs="Arial"/>
          <w:bCs/>
          <w:szCs w:val="24"/>
        </w:rPr>
        <w:t>Link Group</w:t>
      </w:r>
      <w:r w:rsidRPr="00820F85">
        <w:rPr>
          <w:rFonts w:cs="Arial"/>
          <w:bCs/>
          <w:szCs w:val="24"/>
        </w:rPr>
        <w:t xml:space="preserve"> on all active counterparties that comply with the prescribed criteria detailed in </w:t>
      </w:r>
      <w:r w:rsidRPr="00CC5194">
        <w:rPr>
          <w:rFonts w:cs="Arial"/>
          <w:bCs/>
          <w:szCs w:val="24"/>
        </w:rPr>
        <w:t>Appendix F.</w:t>
      </w:r>
      <w:r w:rsidRPr="00820F85">
        <w:rPr>
          <w:rFonts w:cs="Arial"/>
          <w:bCs/>
          <w:szCs w:val="24"/>
        </w:rPr>
        <w:t xml:space="preserve"> Any counterparty failing to meet the criteria would be omitted from the counterparty list. Any rating changes, rating watches (notification of a likely change), rating outlooks (notification of a possible </w:t>
      </w:r>
      <w:proofErr w:type="gramStart"/>
      <w:r w:rsidRPr="00820F85">
        <w:rPr>
          <w:rFonts w:cs="Arial"/>
          <w:bCs/>
          <w:szCs w:val="24"/>
        </w:rPr>
        <w:t>longer term</w:t>
      </w:r>
      <w:proofErr w:type="gramEnd"/>
      <w:r w:rsidRPr="00820F85">
        <w:rPr>
          <w:rFonts w:cs="Arial"/>
          <w:bCs/>
          <w:szCs w:val="24"/>
        </w:rPr>
        <w:t xml:space="preserve"> change) are </w:t>
      </w:r>
      <w:r w:rsidRPr="00820F85">
        <w:rPr>
          <w:rFonts w:cs="Arial"/>
          <w:bCs/>
          <w:szCs w:val="24"/>
        </w:rPr>
        <w:lastRenderedPageBreak/>
        <w:t xml:space="preserve">provided to officers almost immediately after they occur and this information is considered before dealing. For instance, a negative rating watch applying to counterparty at the minimum Council criteria will be suspended from use, with all others being reviewed </w:t>
      </w:r>
      <w:proofErr w:type="gramStart"/>
      <w:r w:rsidRPr="00820F85">
        <w:rPr>
          <w:rFonts w:cs="Arial"/>
          <w:bCs/>
          <w:szCs w:val="24"/>
        </w:rPr>
        <w:t>in light of</w:t>
      </w:r>
      <w:proofErr w:type="gramEnd"/>
      <w:r w:rsidRPr="00820F85">
        <w:rPr>
          <w:rFonts w:cs="Arial"/>
          <w:bCs/>
          <w:szCs w:val="24"/>
        </w:rPr>
        <w:t xml:space="preserve"> market conditions.  </w:t>
      </w:r>
    </w:p>
    <w:p w14:paraId="11B46CF7" w14:textId="77777777" w:rsidR="00B46340" w:rsidRPr="00F53609" w:rsidRDefault="00B46340" w:rsidP="0099334D">
      <w:pPr>
        <w:pStyle w:val="ListParagraph"/>
        <w:tabs>
          <w:tab w:val="left" w:pos="0"/>
        </w:tabs>
        <w:ind w:left="0"/>
        <w:rPr>
          <w:rFonts w:cs="Arial"/>
          <w:szCs w:val="24"/>
          <w:lang w:eastAsia="en-GB"/>
        </w:rPr>
      </w:pPr>
    </w:p>
    <w:p w14:paraId="51C4EEDC" w14:textId="7F7F2D2D" w:rsidR="00B46340" w:rsidRPr="00820F85" w:rsidRDefault="00B46340" w:rsidP="0099334D">
      <w:pPr>
        <w:pStyle w:val="ListParagraph"/>
        <w:numPr>
          <w:ilvl w:val="0"/>
          <w:numId w:val="15"/>
        </w:numPr>
        <w:ind w:left="0" w:hanging="720"/>
        <w:rPr>
          <w:rFonts w:cs="Arial"/>
          <w:bCs/>
          <w:szCs w:val="24"/>
        </w:rPr>
      </w:pPr>
      <w:r w:rsidRPr="00820F85">
        <w:rPr>
          <w:rFonts w:cs="Arial"/>
          <w:bCs/>
          <w:szCs w:val="24"/>
        </w:rPr>
        <w:t>The Council’s criteria for an institution to become</w:t>
      </w:r>
      <w:r w:rsidR="008F3E0C">
        <w:rPr>
          <w:rFonts w:cs="Arial"/>
          <w:bCs/>
          <w:szCs w:val="24"/>
        </w:rPr>
        <w:t xml:space="preserve"> a</w:t>
      </w:r>
      <w:r w:rsidRPr="00820F85">
        <w:rPr>
          <w:rFonts w:cs="Arial"/>
          <w:bCs/>
          <w:szCs w:val="24"/>
        </w:rPr>
        <w:t xml:space="preserve"> counterparty are detailed in </w:t>
      </w:r>
      <w:r w:rsidRPr="00CC5194">
        <w:rPr>
          <w:rFonts w:cs="Arial"/>
          <w:bCs/>
          <w:szCs w:val="24"/>
        </w:rPr>
        <w:t>Appendix F.</w:t>
      </w:r>
      <w:r w:rsidR="00CC5194">
        <w:rPr>
          <w:rFonts w:cs="Arial"/>
          <w:bCs/>
          <w:szCs w:val="24"/>
        </w:rPr>
        <w:t xml:space="preserve">  The Council will apply the creditworthiness service provided by Link Group, which </w:t>
      </w:r>
      <w:r w:rsidR="00101D55" w:rsidRPr="00101D55">
        <w:rPr>
          <w:rFonts w:cs="Arial"/>
          <w:bCs/>
          <w:szCs w:val="24"/>
        </w:rPr>
        <w:t xml:space="preserve">employs a sophisticated modelling approach </w:t>
      </w:r>
      <w:r w:rsidR="00101D55">
        <w:rPr>
          <w:rFonts w:cs="Arial"/>
          <w:bCs/>
          <w:szCs w:val="24"/>
        </w:rPr>
        <w:t>combining credit ratings and market metrics in a weighted scoring system which results in a suggested duration indicating the relative creditworthiness of counterparties.</w:t>
      </w:r>
    </w:p>
    <w:p w14:paraId="56CA3946" w14:textId="65F05B85" w:rsidR="00B46340" w:rsidRPr="00F53609" w:rsidRDefault="00B46340" w:rsidP="0099334D">
      <w:pPr>
        <w:pStyle w:val="subhead"/>
        <w:numPr>
          <w:ilvl w:val="0"/>
          <w:numId w:val="0"/>
        </w:numPr>
        <w:jc w:val="left"/>
        <w:rPr>
          <w:noProof w:val="0"/>
          <w:color w:val="0D0D0D" w:themeColor="text1" w:themeTint="F2"/>
          <w:sz w:val="24"/>
          <w:szCs w:val="24"/>
        </w:rPr>
      </w:pPr>
      <w:bookmarkStart w:id="16" w:name="_Toc60749558"/>
      <w:r w:rsidRPr="00F53609">
        <w:rPr>
          <w:noProof w:val="0"/>
          <w:color w:val="0D0D0D" w:themeColor="text1" w:themeTint="F2"/>
          <w:sz w:val="24"/>
          <w:szCs w:val="24"/>
        </w:rPr>
        <w:t>Country Limits</w:t>
      </w:r>
      <w:bookmarkEnd w:id="16"/>
    </w:p>
    <w:p w14:paraId="26297028" w14:textId="77777777" w:rsidR="00B46340" w:rsidRPr="00820F85" w:rsidRDefault="00B46340" w:rsidP="0099334D">
      <w:pPr>
        <w:pStyle w:val="ListParagraph"/>
        <w:numPr>
          <w:ilvl w:val="0"/>
          <w:numId w:val="15"/>
        </w:numPr>
        <w:ind w:left="0" w:hanging="720"/>
        <w:rPr>
          <w:rFonts w:cs="Arial"/>
          <w:bCs/>
          <w:szCs w:val="24"/>
        </w:rPr>
      </w:pPr>
      <w:r w:rsidRPr="00820F85">
        <w:rPr>
          <w:rFonts w:cs="Arial"/>
          <w:bCs/>
          <w:szCs w:val="24"/>
        </w:rPr>
        <w:t xml:space="preserve">The Council has determined that it will only use approved counterparties from the UK or from countries with a minimum sovereign credit rating of </w:t>
      </w:r>
      <w:r w:rsidRPr="00101D55">
        <w:rPr>
          <w:rFonts w:cs="Arial"/>
          <w:bCs/>
          <w:szCs w:val="24"/>
        </w:rPr>
        <w:t>AA-.  The current UK sovereign rating is AA- or equivalent. This list will be added</w:t>
      </w:r>
      <w:r w:rsidRPr="00820F85">
        <w:rPr>
          <w:rFonts w:cs="Arial"/>
          <w:bCs/>
          <w:szCs w:val="24"/>
        </w:rPr>
        <w:t xml:space="preserve"> to, or deducted from, by officers should ratings change in accordance with this policy.  </w:t>
      </w:r>
    </w:p>
    <w:p w14:paraId="5A345F41" w14:textId="69CC254A" w:rsidR="00B46340" w:rsidRPr="00F53609" w:rsidRDefault="00B46340" w:rsidP="0099334D">
      <w:pPr>
        <w:pStyle w:val="subhead"/>
        <w:numPr>
          <w:ilvl w:val="0"/>
          <w:numId w:val="0"/>
        </w:numPr>
        <w:jc w:val="left"/>
        <w:rPr>
          <w:iCs/>
          <w:sz w:val="24"/>
          <w:szCs w:val="24"/>
        </w:rPr>
      </w:pPr>
      <w:bookmarkStart w:id="17" w:name="_Toc60749559"/>
      <w:r w:rsidRPr="00F53609">
        <w:rPr>
          <w:iCs/>
          <w:sz w:val="24"/>
          <w:szCs w:val="24"/>
        </w:rPr>
        <w:t>Investment Strategy</w:t>
      </w:r>
      <w:bookmarkEnd w:id="17"/>
    </w:p>
    <w:p w14:paraId="0B459B8C" w14:textId="77777777" w:rsidR="00B46340" w:rsidRPr="00F53609" w:rsidRDefault="00B46340" w:rsidP="0099334D">
      <w:pPr>
        <w:pStyle w:val="subhead"/>
        <w:numPr>
          <w:ilvl w:val="0"/>
          <w:numId w:val="0"/>
        </w:numPr>
        <w:jc w:val="left"/>
        <w:rPr>
          <w:iCs/>
          <w:sz w:val="24"/>
          <w:szCs w:val="24"/>
        </w:rPr>
      </w:pPr>
      <w:bookmarkStart w:id="18" w:name="_Toc60749560"/>
      <w:r w:rsidRPr="00F53609">
        <w:rPr>
          <w:iCs/>
          <w:sz w:val="24"/>
          <w:szCs w:val="24"/>
        </w:rPr>
        <w:t>In-house Funds</w:t>
      </w:r>
      <w:bookmarkEnd w:id="18"/>
    </w:p>
    <w:p w14:paraId="3DC8B42F" w14:textId="77777777" w:rsidR="00B46340" w:rsidRPr="00820F85" w:rsidRDefault="00B46340" w:rsidP="0099334D">
      <w:pPr>
        <w:pStyle w:val="ListParagraph"/>
        <w:numPr>
          <w:ilvl w:val="0"/>
          <w:numId w:val="15"/>
        </w:numPr>
        <w:ind w:left="0" w:hanging="720"/>
        <w:rPr>
          <w:rFonts w:cs="Arial"/>
          <w:bCs/>
          <w:szCs w:val="24"/>
        </w:rPr>
      </w:pPr>
      <w:r w:rsidRPr="00820F85">
        <w:rPr>
          <w:rFonts w:cs="Arial"/>
          <w:bCs/>
          <w:szCs w:val="24"/>
        </w:rPr>
        <w:t>The Council’s funds are mainly cash derived primarily from the General Fund and HRA. Balances are also held to support capital expenditure. Investments are made with reference to the core balance and cash flow requirements and the outlook for short-term interest rates (</w:t>
      </w:r>
      <w:proofErr w:type="gramStart"/>
      <w:r w:rsidRPr="00820F85">
        <w:rPr>
          <w:rFonts w:cs="Arial"/>
          <w:bCs/>
          <w:szCs w:val="24"/>
        </w:rPr>
        <w:t>i.e.</w:t>
      </w:r>
      <w:proofErr w:type="gramEnd"/>
      <w:r w:rsidRPr="00820F85">
        <w:rPr>
          <w:rFonts w:cs="Arial"/>
          <w:bCs/>
          <w:szCs w:val="24"/>
        </w:rPr>
        <w:t xml:space="preserve"> rates for investments up to 12 months). </w:t>
      </w:r>
    </w:p>
    <w:p w14:paraId="57B538CD" w14:textId="77777777" w:rsidR="00B46340" w:rsidRPr="00F53609" w:rsidRDefault="00B46340" w:rsidP="0099334D">
      <w:pPr>
        <w:pStyle w:val="ListParagraph"/>
        <w:ind w:left="709"/>
        <w:rPr>
          <w:rFonts w:cs="Arial"/>
          <w:szCs w:val="24"/>
          <w:highlight w:val="yellow"/>
          <w:lang w:eastAsia="en-GB"/>
        </w:rPr>
      </w:pPr>
    </w:p>
    <w:p w14:paraId="5E51067C" w14:textId="6077CC7C" w:rsidR="00B46340" w:rsidRPr="00820F85" w:rsidRDefault="00B46340" w:rsidP="0099334D">
      <w:pPr>
        <w:pStyle w:val="ListParagraph"/>
        <w:numPr>
          <w:ilvl w:val="0"/>
          <w:numId w:val="15"/>
        </w:numPr>
        <w:ind w:left="0" w:hanging="720"/>
        <w:rPr>
          <w:rFonts w:cs="Arial"/>
          <w:bCs/>
          <w:szCs w:val="24"/>
        </w:rPr>
      </w:pPr>
      <w:r w:rsidRPr="00820F85">
        <w:rPr>
          <w:rFonts w:cs="Arial"/>
          <w:bCs/>
          <w:szCs w:val="24"/>
        </w:rPr>
        <w:t xml:space="preserve">Since April 2011, pension fund cash balances have been held separately from those of the Council. </w:t>
      </w:r>
      <w:r w:rsidR="001577A6" w:rsidRPr="001577A6">
        <w:rPr>
          <w:rFonts w:cs="Arial"/>
          <w:bCs/>
          <w:szCs w:val="24"/>
        </w:rPr>
        <w:t>The Pension Fund currently holds cash with RBS, JP Morgan (The funds custodian) and in Money market fund</w:t>
      </w:r>
      <w:r w:rsidR="001577A6">
        <w:rPr>
          <w:rFonts w:cs="Arial"/>
          <w:bCs/>
          <w:szCs w:val="24"/>
        </w:rPr>
        <w:t>s</w:t>
      </w:r>
      <w:r w:rsidR="001577A6" w:rsidRPr="001577A6">
        <w:rPr>
          <w:rFonts w:cs="Arial"/>
          <w:bCs/>
          <w:szCs w:val="24"/>
        </w:rPr>
        <w:t>.</w:t>
      </w:r>
    </w:p>
    <w:p w14:paraId="6572A01B" w14:textId="77777777" w:rsidR="00B46340" w:rsidRPr="00820F85" w:rsidRDefault="00B46340" w:rsidP="0099334D">
      <w:pPr>
        <w:pStyle w:val="ListParagraph"/>
        <w:ind w:left="0"/>
        <w:rPr>
          <w:rFonts w:cs="Arial"/>
          <w:bCs/>
          <w:szCs w:val="24"/>
        </w:rPr>
      </w:pPr>
    </w:p>
    <w:p w14:paraId="67946E82" w14:textId="3D3733CA" w:rsidR="00612E37" w:rsidRPr="00093DF9" w:rsidRDefault="008F3E0C" w:rsidP="0099334D">
      <w:pPr>
        <w:pStyle w:val="ListParagraph"/>
        <w:numPr>
          <w:ilvl w:val="0"/>
          <w:numId w:val="15"/>
        </w:numPr>
        <w:ind w:left="0" w:hanging="720"/>
        <w:rPr>
          <w:rFonts w:cs="Arial"/>
          <w:bCs/>
          <w:szCs w:val="24"/>
        </w:rPr>
      </w:pPr>
      <w:bookmarkStart w:id="19" w:name="_Toc60749561"/>
      <w:r w:rsidRPr="00093DF9">
        <w:rPr>
          <w:rFonts w:cs="Arial"/>
          <w:bCs/>
          <w:szCs w:val="24"/>
        </w:rPr>
        <w:t>The</w:t>
      </w:r>
      <w:r w:rsidR="00304050" w:rsidRPr="00093DF9">
        <w:rPr>
          <w:rFonts w:cs="Arial"/>
          <w:bCs/>
          <w:szCs w:val="24"/>
        </w:rPr>
        <w:t xml:space="preserve"> Council</w:t>
      </w:r>
      <w:r w:rsidRPr="00093DF9">
        <w:rPr>
          <w:rFonts w:cs="Arial"/>
          <w:bCs/>
          <w:szCs w:val="24"/>
        </w:rPr>
        <w:t xml:space="preserve"> has decided against</w:t>
      </w:r>
      <w:r w:rsidR="00304050" w:rsidRPr="00093DF9">
        <w:rPr>
          <w:rFonts w:cs="Arial"/>
          <w:bCs/>
          <w:szCs w:val="24"/>
        </w:rPr>
        <w:t xml:space="preserve"> joining a collective investment arrangement as part of a shared service with the GLA, managed by the GLA’s investment subsidiary, London Treasury Limited, which is authorised and regulated by the Financial Conduct Authority.</w:t>
      </w:r>
      <w:r w:rsidR="005C3D0E" w:rsidRPr="00093DF9">
        <w:rPr>
          <w:rFonts w:cs="Arial"/>
          <w:bCs/>
          <w:szCs w:val="24"/>
        </w:rPr>
        <w:t xml:space="preserve">  A Cabinet report dated 15 July 2021, set out an initial recommendation for the Council to participate in the shared service arrangement but officers have determined that the Authority will not join the service at this time.</w:t>
      </w:r>
    </w:p>
    <w:p w14:paraId="30E906A1" w14:textId="1DFB3A83" w:rsidR="00B46340" w:rsidRPr="004E1FB4" w:rsidRDefault="00B46340" w:rsidP="0099334D">
      <w:pPr>
        <w:pStyle w:val="subhead"/>
        <w:numPr>
          <w:ilvl w:val="0"/>
          <w:numId w:val="0"/>
        </w:numPr>
        <w:ind w:left="360" w:hanging="360"/>
        <w:jc w:val="left"/>
        <w:rPr>
          <w:b w:val="0"/>
          <w:noProof w:val="0"/>
          <w:color w:val="0D0D0D" w:themeColor="text1" w:themeTint="F2"/>
          <w:spacing w:val="-5"/>
          <w:sz w:val="24"/>
          <w:szCs w:val="24"/>
          <w:lang w:eastAsia="en-GB"/>
        </w:rPr>
      </w:pPr>
      <w:r w:rsidRPr="004E1FB4">
        <w:rPr>
          <w:bCs/>
          <w:color w:val="0D0D0D" w:themeColor="text1" w:themeTint="F2"/>
          <w:sz w:val="24"/>
          <w:szCs w:val="24"/>
        </w:rPr>
        <w:t>Investment returns expectations</w:t>
      </w:r>
      <w:bookmarkEnd w:id="19"/>
      <w:r w:rsidRPr="004E1FB4">
        <w:rPr>
          <w:b w:val="0"/>
          <w:noProof w:val="0"/>
          <w:color w:val="0D0D0D" w:themeColor="text1" w:themeTint="F2"/>
          <w:spacing w:val="-5"/>
          <w:sz w:val="24"/>
          <w:szCs w:val="24"/>
          <w:lang w:eastAsia="en-GB"/>
        </w:rPr>
        <w:t xml:space="preserve"> </w:t>
      </w:r>
    </w:p>
    <w:p w14:paraId="1E083773" w14:textId="447D7613" w:rsidR="00B46340" w:rsidRDefault="00304050" w:rsidP="0099334D">
      <w:pPr>
        <w:pStyle w:val="ListParagraph"/>
        <w:numPr>
          <w:ilvl w:val="0"/>
          <w:numId w:val="15"/>
        </w:numPr>
        <w:ind w:left="0" w:hanging="720"/>
        <w:rPr>
          <w:rFonts w:cs="Arial"/>
          <w:bCs/>
          <w:szCs w:val="24"/>
        </w:rPr>
      </w:pPr>
      <w:r w:rsidRPr="00820F85">
        <w:rPr>
          <w:rFonts w:cs="Arial"/>
          <w:bCs/>
          <w:szCs w:val="24"/>
        </w:rPr>
        <w:t xml:space="preserve">Link Group’s Interest Rate Forecast from </w:t>
      </w:r>
      <w:r w:rsidR="005C3D0E">
        <w:rPr>
          <w:rFonts w:cs="Arial"/>
          <w:bCs/>
          <w:szCs w:val="24"/>
        </w:rPr>
        <w:t>8 January 2024</w:t>
      </w:r>
      <w:r w:rsidRPr="00820F85">
        <w:rPr>
          <w:rFonts w:cs="Arial"/>
          <w:bCs/>
          <w:szCs w:val="24"/>
        </w:rPr>
        <w:t xml:space="preserve"> suggests that Bank Rate</w:t>
      </w:r>
      <w:r w:rsidR="00725469" w:rsidRPr="00820F85">
        <w:rPr>
          <w:rFonts w:cs="Arial"/>
          <w:bCs/>
          <w:szCs w:val="24"/>
        </w:rPr>
        <w:t xml:space="preserve">, </w:t>
      </w:r>
      <w:r w:rsidR="00F23816" w:rsidRPr="00820F85">
        <w:rPr>
          <w:rFonts w:cs="Arial"/>
          <w:bCs/>
          <w:szCs w:val="24"/>
        </w:rPr>
        <w:t xml:space="preserve">currently </w:t>
      </w:r>
      <w:r w:rsidR="005C3D0E">
        <w:rPr>
          <w:rFonts w:cs="Arial"/>
          <w:bCs/>
          <w:szCs w:val="24"/>
        </w:rPr>
        <w:t>5.25</w:t>
      </w:r>
      <w:r w:rsidR="00F23816" w:rsidRPr="00820F85">
        <w:rPr>
          <w:rFonts w:cs="Arial"/>
          <w:bCs/>
          <w:szCs w:val="24"/>
        </w:rPr>
        <w:t>% following the</w:t>
      </w:r>
      <w:r w:rsidR="00F33853">
        <w:rPr>
          <w:rFonts w:cs="Arial"/>
          <w:bCs/>
          <w:szCs w:val="24"/>
        </w:rPr>
        <w:t xml:space="preserve"> last of a series of</w:t>
      </w:r>
      <w:r w:rsidR="00F23816" w:rsidRPr="00820F85">
        <w:rPr>
          <w:rFonts w:cs="Arial"/>
          <w:bCs/>
          <w:szCs w:val="24"/>
        </w:rPr>
        <w:t xml:space="preserve"> increase</w:t>
      </w:r>
      <w:r w:rsidR="00F33853">
        <w:rPr>
          <w:rFonts w:cs="Arial"/>
          <w:bCs/>
          <w:szCs w:val="24"/>
        </w:rPr>
        <w:t>s commencing in December 2021 and ending in</w:t>
      </w:r>
      <w:r w:rsidR="00F23816" w:rsidRPr="00820F85">
        <w:rPr>
          <w:rFonts w:cs="Arial"/>
          <w:bCs/>
          <w:szCs w:val="24"/>
        </w:rPr>
        <w:t xml:space="preserve"> </w:t>
      </w:r>
      <w:r w:rsidR="00F33853">
        <w:rPr>
          <w:rFonts w:cs="Arial"/>
          <w:bCs/>
          <w:szCs w:val="24"/>
        </w:rPr>
        <w:t>August</w:t>
      </w:r>
      <w:r w:rsidR="00F23816" w:rsidRPr="00820F85">
        <w:rPr>
          <w:rFonts w:cs="Arial"/>
          <w:bCs/>
          <w:szCs w:val="24"/>
        </w:rPr>
        <w:t xml:space="preserve"> 2023</w:t>
      </w:r>
      <w:r w:rsidR="00725469" w:rsidRPr="00820F85">
        <w:rPr>
          <w:rFonts w:cs="Arial"/>
          <w:bCs/>
          <w:szCs w:val="24"/>
        </w:rPr>
        <w:t xml:space="preserve">, will </w:t>
      </w:r>
      <w:r w:rsidR="00F33853">
        <w:rPr>
          <w:rFonts w:cs="Arial"/>
          <w:bCs/>
          <w:szCs w:val="24"/>
        </w:rPr>
        <w:t xml:space="preserve">reduce from </w:t>
      </w:r>
      <w:proofErr w:type="spellStart"/>
      <w:r w:rsidR="00F33853">
        <w:rPr>
          <w:rFonts w:cs="Arial"/>
          <w:bCs/>
          <w:szCs w:val="24"/>
        </w:rPr>
        <w:t>mid 2024</w:t>
      </w:r>
      <w:proofErr w:type="spellEnd"/>
      <w:r w:rsidR="00F33853">
        <w:rPr>
          <w:rFonts w:cs="Arial"/>
          <w:bCs/>
          <w:szCs w:val="24"/>
        </w:rPr>
        <w:t xml:space="preserve"> and reach a neutral </w:t>
      </w:r>
      <w:proofErr w:type="gramStart"/>
      <w:r w:rsidR="00F33853">
        <w:rPr>
          <w:rFonts w:cs="Arial"/>
          <w:bCs/>
          <w:szCs w:val="24"/>
        </w:rPr>
        <w:t>long term</w:t>
      </w:r>
      <w:proofErr w:type="gramEnd"/>
      <w:r w:rsidR="00F33853">
        <w:rPr>
          <w:rFonts w:cs="Arial"/>
          <w:bCs/>
          <w:szCs w:val="24"/>
        </w:rPr>
        <w:t xml:space="preserve"> rate of 3%.</w:t>
      </w:r>
    </w:p>
    <w:p w14:paraId="3C43EFA6" w14:textId="77777777" w:rsidR="00B46340" w:rsidRPr="00820F85" w:rsidRDefault="00B46340" w:rsidP="0099334D">
      <w:pPr>
        <w:pStyle w:val="ListParagraph"/>
        <w:ind w:left="0"/>
        <w:rPr>
          <w:rFonts w:cs="Arial"/>
          <w:bCs/>
          <w:szCs w:val="24"/>
        </w:rPr>
      </w:pPr>
    </w:p>
    <w:p w14:paraId="154D87FA" w14:textId="473F8B57" w:rsidR="00B46340" w:rsidRPr="00820F85" w:rsidRDefault="00B46340" w:rsidP="0099334D">
      <w:pPr>
        <w:pStyle w:val="ListParagraph"/>
        <w:numPr>
          <w:ilvl w:val="0"/>
          <w:numId w:val="15"/>
        </w:numPr>
        <w:ind w:left="0" w:hanging="720"/>
        <w:rPr>
          <w:rFonts w:cs="Arial"/>
          <w:bCs/>
          <w:szCs w:val="24"/>
        </w:rPr>
      </w:pPr>
      <w:r w:rsidRPr="00820F85">
        <w:rPr>
          <w:rFonts w:cs="Arial"/>
          <w:bCs/>
          <w:szCs w:val="24"/>
        </w:rPr>
        <w:t>The suggested budgeted investment earnings rates for returns on investments placed for periods up to about three months during each financial year are as follows:</w:t>
      </w:r>
    </w:p>
    <w:p w14:paraId="5A663F09" w14:textId="77777777" w:rsidR="00B46340" w:rsidRDefault="00B46340" w:rsidP="0099334D">
      <w:pPr>
        <w:rPr>
          <w:rFonts w:cs="Arial"/>
          <w:color w:val="0D0D0D" w:themeColor="text1" w:themeTint="F2"/>
          <w:sz w:val="22"/>
          <w:szCs w:val="22"/>
        </w:rPr>
      </w:pPr>
    </w:p>
    <w:p w14:paraId="16602CD1" w14:textId="77777777" w:rsidR="0099334D" w:rsidRDefault="0099334D" w:rsidP="0099334D">
      <w:pPr>
        <w:rPr>
          <w:rFonts w:cs="Arial"/>
          <w:color w:val="0D0D0D" w:themeColor="text1" w:themeTint="F2"/>
          <w:sz w:val="22"/>
          <w:szCs w:val="22"/>
        </w:rPr>
      </w:pPr>
    </w:p>
    <w:p w14:paraId="1F8D2579" w14:textId="0FB491D1" w:rsidR="00B46340" w:rsidRPr="00253622" w:rsidRDefault="00B46340" w:rsidP="0099334D">
      <w:pPr>
        <w:pStyle w:val="ListParagraph"/>
        <w:numPr>
          <w:ilvl w:val="0"/>
          <w:numId w:val="1"/>
        </w:numPr>
        <w:autoSpaceDE w:val="0"/>
        <w:autoSpaceDN w:val="0"/>
        <w:adjustRightInd w:val="0"/>
        <w:rPr>
          <w:rFonts w:cs="Arial"/>
          <w:szCs w:val="24"/>
          <w:lang w:eastAsia="en-GB"/>
        </w:rPr>
      </w:pPr>
      <w:r w:rsidRPr="00253622">
        <w:rPr>
          <w:rFonts w:cs="Arial"/>
          <w:szCs w:val="24"/>
          <w:lang w:eastAsia="en-GB"/>
        </w:rPr>
        <w:lastRenderedPageBreak/>
        <w:t>202</w:t>
      </w:r>
      <w:r w:rsidR="005C3D0E">
        <w:rPr>
          <w:rFonts w:cs="Arial"/>
          <w:szCs w:val="24"/>
          <w:lang w:eastAsia="en-GB"/>
        </w:rPr>
        <w:t>3</w:t>
      </w:r>
      <w:r w:rsidRPr="00253622">
        <w:rPr>
          <w:rFonts w:cs="Arial"/>
          <w:szCs w:val="24"/>
          <w:lang w:eastAsia="en-GB"/>
        </w:rPr>
        <w:t>/2</w:t>
      </w:r>
      <w:r w:rsidR="005C3D0E">
        <w:rPr>
          <w:rFonts w:cs="Arial"/>
          <w:szCs w:val="24"/>
          <w:lang w:eastAsia="en-GB"/>
        </w:rPr>
        <w:t>4</w:t>
      </w:r>
      <w:r w:rsidR="00725469">
        <w:rPr>
          <w:rFonts w:cs="Arial"/>
          <w:szCs w:val="24"/>
          <w:lang w:eastAsia="en-GB"/>
        </w:rPr>
        <w:t xml:space="preserve"> (remainder)</w:t>
      </w:r>
      <w:r w:rsidRPr="00253622">
        <w:rPr>
          <w:rFonts w:cs="Arial"/>
          <w:szCs w:val="24"/>
          <w:lang w:eastAsia="en-GB"/>
        </w:rPr>
        <w:t xml:space="preserve">: </w:t>
      </w:r>
      <w:r w:rsidR="005C3D0E">
        <w:rPr>
          <w:rFonts w:cs="Arial"/>
          <w:szCs w:val="24"/>
          <w:lang w:eastAsia="en-GB"/>
        </w:rPr>
        <w:t>5.3</w:t>
      </w:r>
      <w:r w:rsidRPr="00253622">
        <w:rPr>
          <w:rFonts w:cs="Arial"/>
          <w:szCs w:val="24"/>
          <w:lang w:eastAsia="en-GB"/>
        </w:rPr>
        <w:t>%</w:t>
      </w:r>
    </w:p>
    <w:p w14:paraId="04E34756" w14:textId="6BA24CBC" w:rsidR="00B46340" w:rsidRPr="00253622" w:rsidRDefault="00B46340" w:rsidP="0099334D">
      <w:pPr>
        <w:pStyle w:val="ListParagraph"/>
        <w:numPr>
          <w:ilvl w:val="0"/>
          <w:numId w:val="1"/>
        </w:numPr>
        <w:autoSpaceDE w:val="0"/>
        <w:autoSpaceDN w:val="0"/>
        <w:adjustRightInd w:val="0"/>
        <w:rPr>
          <w:rFonts w:cs="Arial"/>
          <w:szCs w:val="24"/>
          <w:lang w:eastAsia="en-GB"/>
        </w:rPr>
      </w:pPr>
      <w:r w:rsidRPr="00253622">
        <w:rPr>
          <w:rFonts w:cs="Arial"/>
          <w:szCs w:val="24"/>
          <w:lang w:eastAsia="en-GB"/>
        </w:rPr>
        <w:t>202</w:t>
      </w:r>
      <w:r w:rsidR="005C3D0E">
        <w:rPr>
          <w:rFonts w:cs="Arial"/>
          <w:szCs w:val="24"/>
          <w:lang w:eastAsia="en-GB"/>
        </w:rPr>
        <w:t>4</w:t>
      </w:r>
      <w:r w:rsidRPr="00253622">
        <w:rPr>
          <w:rFonts w:cs="Arial"/>
          <w:szCs w:val="24"/>
          <w:lang w:eastAsia="en-GB"/>
        </w:rPr>
        <w:t>/2</w:t>
      </w:r>
      <w:r w:rsidR="005C3D0E">
        <w:rPr>
          <w:rFonts w:cs="Arial"/>
          <w:szCs w:val="24"/>
          <w:lang w:eastAsia="en-GB"/>
        </w:rPr>
        <w:t>5</w:t>
      </w:r>
      <w:r w:rsidRPr="00253622">
        <w:rPr>
          <w:rFonts w:cs="Arial"/>
          <w:szCs w:val="24"/>
          <w:lang w:eastAsia="en-GB"/>
        </w:rPr>
        <w:t xml:space="preserve">: </w:t>
      </w:r>
      <w:r w:rsidR="005C3D0E">
        <w:rPr>
          <w:rFonts w:cs="Arial"/>
          <w:szCs w:val="24"/>
          <w:lang w:eastAsia="en-GB"/>
        </w:rPr>
        <w:t>4.55</w:t>
      </w:r>
      <w:r w:rsidRPr="00253622">
        <w:rPr>
          <w:rFonts w:cs="Arial"/>
          <w:szCs w:val="24"/>
          <w:lang w:eastAsia="en-GB"/>
        </w:rPr>
        <w:t>%</w:t>
      </w:r>
    </w:p>
    <w:p w14:paraId="1E346072" w14:textId="127947BC" w:rsidR="00B46340" w:rsidRPr="00253622" w:rsidRDefault="00B46340" w:rsidP="0099334D">
      <w:pPr>
        <w:pStyle w:val="ListParagraph"/>
        <w:numPr>
          <w:ilvl w:val="0"/>
          <w:numId w:val="1"/>
        </w:numPr>
        <w:autoSpaceDE w:val="0"/>
        <w:autoSpaceDN w:val="0"/>
        <w:adjustRightInd w:val="0"/>
        <w:rPr>
          <w:rFonts w:cs="Arial"/>
          <w:szCs w:val="24"/>
          <w:lang w:eastAsia="en-GB"/>
        </w:rPr>
      </w:pPr>
      <w:r w:rsidRPr="00253622">
        <w:rPr>
          <w:rFonts w:cs="Arial"/>
          <w:szCs w:val="24"/>
          <w:lang w:eastAsia="en-GB"/>
        </w:rPr>
        <w:t>202</w:t>
      </w:r>
      <w:r w:rsidR="005C3D0E">
        <w:rPr>
          <w:rFonts w:cs="Arial"/>
          <w:szCs w:val="24"/>
          <w:lang w:eastAsia="en-GB"/>
        </w:rPr>
        <w:t>5</w:t>
      </w:r>
      <w:r w:rsidRPr="00253622">
        <w:rPr>
          <w:rFonts w:cs="Arial"/>
          <w:szCs w:val="24"/>
          <w:lang w:eastAsia="en-GB"/>
        </w:rPr>
        <w:t>/2</w:t>
      </w:r>
      <w:r w:rsidR="005C3D0E">
        <w:rPr>
          <w:rFonts w:cs="Arial"/>
          <w:szCs w:val="24"/>
          <w:lang w:eastAsia="en-GB"/>
        </w:rPr>
        <w:t>6</w:t>
      </w:r>
      <w:r w:rsidRPr="00253622">
        <w:rPr>
          <w:rFonts w:cs="Arial"/>
          <w:szCs w:val="24"/>
          <w:lang w:eastAsia="en-GB"/>
        </w:rPr>
        <w:t xml:space="preserve">: </w:t>
      </w:r>
      <w:r w:rsidR="00725469">
        <w:rPr>
          <w:rFonts w:cs="Arial"/>
          <w:szCs w:val="24"/>
          <w:lang w:eastAsia="en-GB"/>
        </w:rPr>
        <w:t>3.</w:t>
      </w:r>
      <w:r w:rsidR="005C3D0E">
        <w:rPr>
          <w:rFonts w:cs="Arial"/>
          <w:szCs w:val="24"/>
          <w:lang w:eastAsia="en-GB"/>
        </w:rPr>
        <w:t>10</w:t>
      </w:r>
      <w:r w:rsidRPr="00253622">
        <w:rPr>
          <w:rFonts w:cs="Arial"/>
          <w:szCs w:val="24"/>
          <w:lang w:eastAsia="en-GB"/>
        </w:rPr>
        <w:t>%</w:t>
      </w:r>
    </w:p>
    <w:p w14:paraId="5A64C3B6" w14:textId="3123F8B5" w:rsidR="00B46340" w:rsidRPr="00253622" w:rsidRDefault="00B46340" w:rsidP="0099334D">
      <w:pPr>
        <w:pStyle w:val="ListParagraph"/>
        <w:numPr>
          <w:ilvl w:val="0"/>
          <w:numId w:val="1"/>
        </w:numPr>
        <w:autoSpaceDE w:val="0"/>
        <w:autoSpaceDN w:val="0"/>
        <w:adjustRightInd w:val="0"/>
        <w:rPr>
          <w:rFonts w:cs="Arial"/>
          <w:szCs w:val="24"/>
          <w:lang w:eastAsia="en-GB"/>
        </w:rPr>
      </w:pPr>
      <w:r w:rsidRPr="00253622">
        <w:rPr>
          <w:rFonts w:cs="Arial"/>
          <w:szCs w:val="24"/>
          <w:lang w:eastAsia="en-GB"/>
        </w:rPr>
        <w:t>202</w:t>
      </w:r>
      <w:r w:rsidR="005C3D0E">
        <w:rPr>
          <w:rFonts w:cs="Arial"/>
          <w:szCs w:val="24"/>
          <w:lang w:eastAsia="en-GB"/>
        </w:rPr>
        <w:t>6</w:t>
      </w:r>
      <w:r w:rsidRPr="00253622">
        <w:rPr>
          <w:rFonts w:cs="Arial"/>
          <w:szCs w:val="24"/>
          <w:lang w:eastAsia="en-GB"/>
        </w:rPr>
        <w:t>/2</w:t>
      </w:r>
      <w:r w:rsidR="005C3D0E">
        <w:rPr>
          <w:rFonts w:cs="Arial"/>
          <w:szCs w:val="24"/>
          <w:lang w:eastAsia="en-GB"/>
        </w:rPr>
        <w:t>7</w:t>
      </w:r>
      <w:r w:rsidRPr="00253622">
        <w:rPr>
          <w:rFonts w:cs="Arial"/>
          <w:szCs w:val="24"/>
          <w:lang w:eastAsia="en-GB"/>
        </w:rPr>
        <w:t xml:space="preserve">: </w:t>
      </w:r>
      <w:r w:rsidR="005C3D0E">
        <w:rPr>
          <w:rFonts w:cs="Arial"/>
          <w:szCs w:val="24"/>
          <w:lang w:eastAsia="en-GB"/>
        </w:rPr>
        <w:t>3.00</w:t>
      </w:r>
      <w:r w:rsidRPr="00253622">
        <w:rPr>
          <w:rFonts w:cs="Arial"/>
          <w:szCs w:val="24"/>
          <w:lang w:eastAsia="en-GB"/>
        </w:rPr>
        <w:t>%</w:t>
      </w:r>
    </w:p>
    <w:p w14:paraId="2B00CFDF" w14:textId="77777777" w:rsidR="00EC4938" w:rsidRDefault="00EC4938" w:rsidP="0099334D">
      <w:pPr>
        <w:pStyle w:val="ListParagraph"/>
        <w:ind w:left="1080"/>
        <w:rPr>
          <w:rFonts w:cs="Arial"/>
          <w:bCs/>
          <w:color w:val="0D0D0D" w:themeColor="text1" w:themeTint="F2"/>
        </w:rPr>
      </w:pPr>
    </w:p>
    <w:p w14:paraId="17F52453" w14:textId="77777777" w:rsidR="00B46340" w:rsidRDefault="00B46340" w:rsidP="0099334D">
      <w:pPr>
        <w:spacing w:before="90"/>
        <w:rPr>
          <w:rFonts w:cs="Arial"/>
          <w:b/>
          <w:color w:val="000000"/>
          <w:szCs w:val="24"/>
        </w:rPr>
      </w:pPr>
      <w:r w:rsidRPr="004E1FB4">
        <w:rPr>
          <w:rFonts w:cs="Arial"/>
          <w:b/>
          <w:color w:val="000000"/>
          <w:szCs w:val="24"/>
        </w:rPr>
        <w:t xml:space="preserve">Investment treasury indicator and limit - total principal funds invested for greater than 365 </w:t>
      </w:r>
      <w:proofErr w:type="gramStart"/>
      <w:r w:rsidRPr="004E1FB4">
        <w:rPr>
          <w:rFonts w:cs="Arial"/>
          <w:b/>
          <w:color w:val="000000"/>
          <w:szCs w:val="24"/>
        </w:rPr>
        <w:t>days</w:t>
      </w:r>
      <w:proofErr w:type="gramEnd"/>
    </w:p>
    <w:p w14:paraId="2FACEC61" w14:textId="697EC076" w:rsidR="00B46340" w:rsidRDefault="00B46340" w:rsidP="0099334D">
      <w:pPr>
        <w:rPr>
          <w:rFonts w:cs="Arial"/>
          <w:bCs/>
          <w:color w:val="0D0D0D" w:themeColor="text1" w:themeTint="F2"/>
        </w:rPr>
      </w:pPr>
    </w:p>
    <w:p w14:paraId="2A5D03C2" w14:textId="542088D4" w:rsidR="00B46340" w:rsidRPr="00820F85" w:rsidRDefault="00B46340" w:rsidP="0099334D">
      <w:pPr>
        <w:pStyle w:val="ListParagraph"/>
        <w:numPr>
          <w:ilvl w:val="0"/>
          <w:numId w:val="15"/>
        </w:numPr>
        <w:ind w:left="0" w:hanging="720"/>
        <w:rPr>
          <w:rFonts w:cs="Arial"/>
          <w:bCs/>
          <w:szCs w:val="24"/>
        </w:rPr>
      </w:pPr>
      <w:r w:rsidRPr="00820F85">
        <w:rPr>
          <w:rFonts w:cs="Arial"/>
          <w:bCs/>
          <w:szCs w:val="24"/>
        </w:rPr>
        <w:t xml:space="preserve">These limits are set </w:t>
      </w:r>
      <w:proofErr w:type="gramStart"/>
      <w:r w:rsidRPr="00820F85">
        <w:rPr>
          <w:rFonts w:cs="Arial"/>
          <w:bCs/>
          <w:szCs w:val="24"/>
        </w:rPr>
        <w:t>with regard to</w:t>
      </w:r>
      <w:proofErr w:type="gramEnd"/>
      <w:r w:rsidRPr="00820F85">
        <w:rPr>
          <w:rFonts w:cs="Arial"/>
          <w:bCs/>
          <w:szCs w:val="24"/>
        </w:rPr>
        <w:t xml:space="preserve"> the Council’s liquidity requirements and to reduce the need for early sale of an investment and are based on the availability of funds after each year-end.</w:t>
      </w:r>
      <w:r w:rsidR="00725469" w:rsidRPr="00820F85">
        <w:rPr>
          <w:rFonts w:cs="Arial"/>
          <w:bCs/>
          <w:szCs w:val="24"/>
        </w:rPr>
        <w:t xml:space="preserve">  </w:t>
      </w:r>
    </w:p>
    <w:p w14:paraId="7F2E0D5F" w14:textId="77777777" w:rsidR="00725469" w:rsidRPr="00820F85" w:rsidRDefault="00725469" w:rsidP="0099334D">
      <w:pPr>
        <w:pStyle w:val="ListParagraph"/>
        <w:ind w:left="0"/>
        <w:rPr>
          <w:rFonts w:cs="Arial"/>
          <w:bCs/>
          <w:szCs w:val="24"/>
        </w:rPr>
      </w:pPr>
    </w:p>
    <w:p w14:paraId="5D605818" w14:textId="406837C5" w:rsidR="00725469" w:rsidRPr="00820F85" w:rsidRDefault="00725469" w:rsidP="0099334D">
      <w:pPr>
        <w:pStyle w:val="ListParagraph"/>
        <w:numPr>
          <w:ilvl w:val="0"/>
          <w:numId w:val="15"/>
        </w:numPr>
        <w:ind w:left="0" w:hanging="720"/>
        <w:rPr>
          <w:rFonts w:cs="Arial"/>
          <w:bCs/>
          <w:szCs w:val="24"/>
        </w:rPr>
      </w:pPr>
      <w:r w:rsidRPr="00820F85">
        <w:rPr>
          <w:rFonts w:cs="Arial"/>
          <w:bCs/>
          <w:szCs w:val="24"/>
        </w:rPr>
        <w:t xml:space="preserve">With the Liability Benchmark, advocating a net book approach to treasury management, the Authority is expected to hold </w:t>
      </w:r>
      <w:proofErr w:type="gramStart"/>
      <w:r w:rsidRPr="00820F85">
        <w:rPr>
          <w:rFonts w:cs="Arial"/>
          <w:bCs/>
          <w:szCs w:val="24"/>
        </w:rPr>
        <w:t>the majority of</w:t>
      </w:r>
      <w:proofErr w:type="gramEnd"/>
      <w:r w:rsidRPr="00820F85">
        <w:rPr>
          <w:rFonts w:cs="Arial"/>
          <w:bCs/>
          <w:szCs w:val="24"/>
        </w:rPr>
        <w:t xml:space="preserve"> its investments short term and liquid.</w:t>
      </w:r>
    </w:p>
    <w:p w14:paraId="4D65EC9D" w14:textId="77777777" w:rsidR="00B46340" w:rsidRPr="004E1FB4" w:rsidRDefault="00B46340" w:rsidP="0099334D">
      <w:pPr>
        <w:pStyle w:val="ListParagraph"/>
        <w:ind w:left="709"/>
        <w:rPr>
          <w:rFonts w:cs="Arial"/>
          <w:szCs w:val="24"/>
          <w:lang w:eastAsia="en-GB"/>
        </w:rPr>
      </w:pPr>
    </w:p>
    <w:p w14:paraId="3EAA67CD" w14:textId="0EE2108C" w:rsidR="00B46340" w:rsidRPr="00A664CF" w:rsidRDefault="00B46340" w:rsidP="0099334D">
      <w:pPr>
        <w:pStyle w:val="ListParagraph"/>
        <w:numPr>
          <w:ilvl w:val="0"/>
          <w:numId w:val="15"/>
        </w:numPr>
        <w:ind w:left="0" w:hanging="720"/>
        <w:rPr>
          <w:rFonts w:cs="Arial"/>
          <w:bCs/>
          <w:color w:val="0D0D0D" w:themeColor="text1" w:themeTint="F2"/>
        </w:rPr>
      </w:pPr>
      <w:r w:rsidRPr="00101D55">
        <w:rPr>
          <w:rFonts w:cs="Arial"/>
          <w:bCs/>
          <w:szCs w:val="24"/>
        </w:rPr>
        <w:t xml:space="preserve">The Council is asked to approve the following treasury indicator and limit: </w:t>
      </w:r>
    </w:p>
    <w:p w14:paraId="0C43D336" w14:textId="77777777" w:rsidR="00A664CF" w:rsidRPr="00A664CF" w:rsidRDefault="00A664CF" w:rsidP="0099334D">
      <w:pPr>
        <w:pStyle w:val="ListParagraph"/>
        <w:rPr>
          <w:rFonts w:cs="Arial"/>
          <w:bCs/>
          <w:color w:val="0D0D0D" w:themeColor="text1" w:themeTint="F2"/>
        </w:rPr>
      </w:pPr>
    </w:p>
    <w:p w14:paraId="2D78AACB" w14:textId="0C6483C8" w:rsidR="00A664CF" w:rsidRDefault="00A664CF" w:rsidP="00A664CF">
      <w:pPr>
        <w:rPr>
          <w:rFonts w:cs="Arial"/>
          <w:szCs w:val="24"/>
          <w:lang w:eastAsia="en-GB"/>
        </w:rPr>
      </w:pPr>
      <w:r w:rsidRPr="000B1256">
        <w:rPr>
          <w:rFonts w:cs="Arial"/>
          <w:sz w:val="20"/>
          <w:lang w:eastAsia="en-GB"/>
        </w:rPr>
        <w:t>Table 1</w:t>
      </w:r>
      <w:r>
        <w:rPr>
          <w:rFonts w:cs="Arial"/>
          <w:sz w:val="20"/>
          <w:lang w:eastAsia="en-GB"/>
        </w:rPr>
        <w:t>3</w:t>
      </w:r>
      <w:r w:rsidRPr="000B1256">
        <w:rPr>
          <w:rFonts w:cs="Arial"/>
          <w:sz w:val="20"/>
          <w:lang w:eastAsia="en-GB"/>
        </w:rPr>
        <w:t xml:space="preserve">: </w:t>
      </w:r>
      <w:r>
        <w:rPr>
          <w:rFonts w:cs="Arial"/>
          <w:sz w:val="20"/>
          <w:lang w:eastAsia="en-GB"/>
        </w:rPr>
        <w:t>Upper limit for investments over 365 days</w:t>
      </w:r>
    </w:p>
    <w:p w14:paraId="25F8D969" w14:textId="034305FA" w:rsidR="00A664CF" w:rsidRPr="00A664CF" w:rsidRDefault="009A099F" w:rsidP="00A664CF">
      <w:pPr>
        <w:rPr>
          <w:rFonts w:cs="Arial"/>
          <w:bCs/>
          <w:color w:val="0D0D0D" w:themeColor="text1" w:themeTint="F2"/>
        </w:rPr>
      </w:pPr>
      <w:r w:rsidRPr="009A099F">
        <w:rPr>
          <w:noProof/>
        </w:rPr>
        <w:drawing>
          <wp:inline distT="0" distB="0" distL="0" distR="0" wp14:anchorId="4C55E50E" wp14:editId="3BFACE97">
            <wp:extent cx="5276215" cy="726440"/>
            <wp:effectExtent l="0" t="0" r="63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76215" cy="726440"/>
                    </a:xfrm>
                    <a:prstGeom prst="rect">
                      <a:avLst/>
                    </a:prstGeom>
                    <a:noFill/>
                    <a:ln>
                      <a:noFill/>
                    </a:ln>
                  </pic:spPr>
                </pic:pic>
              </a:graphicData>
            </a:graphic>
          </wp:inline>
        </w:drawing>
      </w:r>
    </w:p>
    <w:p w14:paraId="796B5716" w14:textId="77777777" w:rsidR="00A664CF" w:rsidRDefault="00A664CF" w:rsidP="00A664CF">
      <w:pPr>
        <w:pStyle w:val="ListParagraph"/>
        <w:ind w:left="0"/>
        <w:jc w:val="both"/>
        <w:rPr>
          <w:rFonts w:cs="Arial"/>
          <w:bCs/>
          <w:color w:val="0D0D0D" w:themeColor="text1" w:themeTint="F2"/>
        </w:rPr>
      </w:pPr>
    </w:p>
    <w:p w14:paraId="19A2F96C" w14:textId="77777777" w:rsidR="00B46340" w:rsidRDefault="00B46340" w:rsidP="00B46340">
      <w:pPr>
        <w:spacing w:before="90"/>
        <w:jc w:val="both"/>
        <w:rPr>
          <w:rFonts w:cs="Arial"/>
          <w:szCs w:val="24"/>
          <w:lang w:eastAsia="en-GB"/>
        </w:rPr>
      </w:pPr>
      <w:r w:rsidRPr="004E1FB4">
        <w:rPr>
          <w:rFonts w:cs="Arial"/>
          <w:b/>
          <w:color w:val="000000"/>
          <w:szCs w:val="24"/>
        </w:rPr>
        <w:t>Investment performance / risk benchmarking</w:t>
      </w:r>
      <w:r w:rsidRPr="004E1FB4">
        <w:rPr>
          <w:rFonts w:cs="Arial"/>
          <w:szCs w:val="24"/>
          <w:lang w:eastAsia="en-GB"/>
        </w:rPr>
        <w:t xml:space="preserve"> </w:t>
      </w:r>
    </w:p>
    <w:p w14:paraId="504246CD" w14:textId="55B648EB" w:rsidR="00B46340" w:rsidRDefault="00B46340" w:rsidP="00B46340">
      <w:pPr>
        <w:jc w:val="both"/>
        <w:rPr>
          <w:rFonts w:cs="Arial"/>
          <w:bCs/>
          <w:color w:val="0D0D0D" w:themeColor="text1" w:themeTint="F2"/>
        </w:rPr>
      </w:pPr>
    </w:p>
    <w:p w14:paraId="04CD6081" w14:textId="340744C5" w:rsidR="00730089" w:rsidRPr="00820F85" w:rsidRDefault="00303A91" w:rsidP="0099334D">
      <w:pPr>
        <w:pStyle w:val="ListParagraph"/>
        <w:numPr>
          <w:ilvl w:val="0"/>
          <w:numId w:val="15"/>
        </w:numPr>
        <w:ind w:left="0" w:hanging="720"/>
        <w:rPr>
          <w:rFonts w:cs="Arial"/>
          <w:bCs/>
          <w:szCs w:val="24"/>
        </w:rPr>
      </w:pPr>
      <w:r w:rsidRPr="00820F85">
        <w:rPr>
          <w:rFonts w:cs="Arial"/>
          <w:bCs/>
          <w:szCs w:val="24"/>
        </w:rPr>
        <w:t>The Council previously used LIBOR rates for benchmarking purposes.</w:t>
      </w:r>
      <w:r w:rsidR="00096E1F" w:rsidRPr="00820F85">
        <w:rPr>
          <w:rFonts w:cs="Arial"/>
          <w:bCs/>
          <w:szCs w:val="24"/>
        </w:rPr>
        <w:t xml:space="preserve"> The publication of</w:t>
      </w:r>
      <w:r w:rsidRPr="00820F85">
        <w:rPr>
          <w:rFonts w:cs="Arial"/>
          <w:bCs/>
          <w:szCs w:val="24"/>
        </w:rPr>
        <w:t xml:space="preserve"> LIBOR and </w:t>
      </w:r>
      <w:r w:rsidR="00730089" w:rsidRPr="00820F85">
        <w:rPr>
          <w:rFonts w:cs="Arial"/>
          <w:bCs/>
          <w:szCs w:val="24"/>
        </w:rPr>
        <w:t>associated LIBID rates ceased at the end of 2021,</w:t>
      </w:r>
      <w:r w:rsidR="00096E1F" w:rsidRPr="00820F85">
        <w:rPr>
          <w:rFonts w:cs="Arial"/>
          <w:bCs/>
          <w:szCs w:val="24"/>
        </w:rPr>
        <w:t xml:space="preserve"> as part of a move within financial markets to move to risk free reference rates.  For sterling markets LIBOR has been replaced with the Sterling Overnight Index Average (SONIA), published by the Bank of England, which is based on actual transactions between banks, financial institutions, and institutional investors</w:t>
      </w:r>
      <w:r w:rsidR="00730089" w:rsidRPr="00820F85">
        <w:rPr>
          <w:rFonts w:cs="Arial"/>
          <w:bCs/>
          <w:szCs w:val="24"/>
        </w:rPr>
        <w:t>.</w:t>
      </w:r>
    </w:p>
    <w:p w14:paraId="79580678" w14:textId="77777777" w:rsidR="00730089" w:rsidRPr="00820F85" w:rsidRDefault="00730089" w:rsidP="0099334D">
      <w:pPr>
        <w:pStyle w:val="ListParagraph"/>
        <w:ind w:left="0"/>
        <w:rPr>
          <w:rFonts w:cs="Arial"/>
          <w:bCs/>
          <w:szCs w:val="24"/>
        </w:rPr>
      </w:pPr>
    </w:p>
    <w:p w14:paraId="02E24F78" w14:textId="5123633E" w:rsidR="00730089" w:rsidRPr="00820F85" w:rsidRDefault="00096E1F" w:rsidP="0099334D">
      <w:pPr>
        <w:pStyle w:val="ListParagraph"/>
        <w:numPr>
          <w:ilvl w:val="0"/>
          <w:numId w:val="15"/>
        </w:numPr>
        <w:ind w:left="0" w:hanging="720"/>
        <w:rPr>
          <w:rFonts w:cs="Arial"/>
          <w:bCs/>
          <w:szCs w:val="24"/>
        </w:rPr>
      </w:pPr>
      <w:r w:rsidRPr="00820F85">
        <w:rPr>
          <w:rFonts w:cs="Arial"/>
          <w:bCs/>
          <w:szCs w:val="24"/>
        </w:rPr>
        <w:t xml:space="preserve">Link Group will </w:t>
      </w:r>
      <w:r w:rsidR="00876647" w:rsidRPr="00820F85">
        <w:rPr>
          <w:rFonts w:cs="Arial"/>
          <w:bCs/>
          <w:szCs w:val="24"/>
        </w:rPr>
        <w:t>provide</w:t>
      </w:r>
      <w:r w:rsidRPr="00820F85">
        <w:rPr>
          <w:rFonts w:cs="Arial"/>
          <w:bCs/>
          <w:szCs w:val="24"/>
        </w:rPr>
        <w:t xml:space="preserve"> </w:t>
      </w:r>
      <w:r w:rsidR="00C37D93" w:rsidRPr="00820F85">
        <w:rPr>
          <w:rFonts w:cs="Arial"/>
          <w:bCs/>
          <w:szCs w:val="24"/>
        </w:rPr>
        <w:t xml:space="preserve">the Authority with </w:t>
      </w:r>
      <w:r w:rsidRPr="00820F85">
        <w:rPr>
          <w:rFonts w:cs="Arial"/>
          <w:bCs/>
          <w:szCs w:val="24"/>
        </w:rPr>
        <w:t>compounded SONIA rates in the same way that</w:t>
      </w:r>
      <w:r w:rsidR="00876647" w:rsidRPr="00820F85">
        <w:rPr>
          <w:rFonts w:cs="Arial"/>
          <w:bCs/>
          <w:szCs w:val="24"/>
        </w:rPr>
        <w:t xml:space="preserve"> they</w:t>
      </w:r>
      <w:r w:rsidRPr="00820F85">
        <w:rPr>
          <w:rFonts w:cs="Arial"/>
          <w:bCs/>
          <w:szCs w:val="24"/>
        </w:rPr>
        <w:t xml:space="preserve"> did with LIBOR / LIBID rates</w:t>
      </w:r>
      <w:r w:rsidR="00876647" w:rsidRPr="00820F85">
        <w:rPr>
          <w:rFonts w:cs="Arial"/>
          <w:bCs/>
          <w:szCs w:val="24"/>
        </w:rPr>
        <w:t xml:space="preserve"> for investment benchmarking purposes.</w:t>
      </w:r>
    </w:p>
    <w:p w14:paraId="7D238A38" w14:textId="77777777" w:rsidR="00096E1F" w:rsidRPr="00820F85" w:rsidRDefault="00096E1F" w:rsidP="0099334D">
      <w:pPr>
        <w:pStyle w:val="ListParagraph"/>
        <w:ind w:left="0"/>
        <w:rPr>
          <w:rFonts w:cs="Arial"/>
          <w:bCs/>
          <w:szCs w:val="24"/>
        </w:rPr>
      </w:pPr>
    </w:p>
    <w:p w14:paraId="39039400" w14:textId="1709525D" w:rsidR="00B46340" w:rsidRDefault="00096E1F" w:rsidP="0099334D">
      <w:pPr>
        <w:pStyle w:val="ListParagraph"/>
        <w:numPr>
          <w:ilvl w:val="0"/>
          <w:numId w:val="15"/>
        </w:numPr>
        <w:ind w:left="0" w:hanging="720"/>
        <w:rPr>
          <w:rFonts w:cs="Arial"/>
          <w:bCs/>
          <w:szCs w:val="24"/>
        </w:rPr>
      </w:pPr>
      <w:r w:rsidRPr="00820F85">
        <w:rPr>
          <w:rFonts w:cs="Arial"/>
          <w:bCs/>
          <w:szCs w:val="24"/>
        </w:rPr>
        <w:t>The</w:t>
      </w:r>
      <w:r w:rsidR="00B46340" w:rsidRPr="00820F85">
        <w:rPr>
          <w:rFonts w:cs="Arial"/>
          <w:bCs/>
          <w:szCs w:val="24"/>
        </w:rPr>
        <w:t xml:space="preserve"> Council is a member of a Link </w:t>
      </w:r>
      <w:r w:rsidR="00303A91" w:rsidRPr="00820F85">
        <w:rPr>
          <w:rFonts w:cs="Arial"/>
          <w:bCs/>
          <w:szCs w:val="24"/>
        </w:rPr>
        <w:t>Group</w:t>
      </w:r>
      <w:r w:rsidR="00876647" w:rsidRPr="00820F85">
        <w:rPr>
          <w:rFonts w:cs="Arial"/>
          <w:bCs/>
          <w:szCs w:val="24"/>
        </w:rPr>
        <w:t>’</w:t>
      </w:r>
      <w:r w:rsidR="00303A91" w:rsidRPr="00820F85">
        <w:rPr>
          <w:rFonts w:cs="Arial"/>
          <w:bCs/>
          <w:szCs w:val="24"/>
        </w:rPr>
        <w:t>s</w:t>
      </w:r>
      <w:r w:rsidR="00B46340" w:rsidRPr="00820F85">
        <w:rPr>
          <w:rFonts w:cs="Arial"/>
          <w:bCs/>
          <w:szCs w:val="24"/>
        </w:rPr>
        <w:t xml:space="preserve"> investment portfolio benchmarking group through which performance is measured against peer London authorities. The risk of default attached to the Council’s portfolio is reported by </w:t>
      </w:r>
      <w:r w:rsidR="00303A91" w:rsidRPr="00820F85">
        <w:rPr>
          <w:rFonts w:cs="Arial"/>
          <w:bCs/>
          <w:szCs w:val="24"/>
        </w:rPr>
        <w:t>Link Group</w:t>
      </w:r>
      <w:r w:rsidR="00B46340" w:rsidRPr="00820F85">
        <w:rPr>
          <w:rFonts w:cs="Arial"/>
          <w:bCs/>
          <w:szCs w:val="24"/>
        </w:rPr>
        <w:t xml:space="preserve"> </w:t>
      </w:r>
      <w:r w:rsidR="00A664CF" w:rsidRPr="00820F85">
        <w:rPr>
          <w:rFonts w:cs="Arial"/>
          <w:bCs/>
          <w:szCs w:val="24"/>
        </w:rPr>
        <w:t>monthly</w:t>
      </w:r>
      <w:r w:rsidR="00B46340" w:rsidRPr="00820F85">
        <w:rPr>
          <w:rFonts w:cs="Arial"/>
          <w:bCs/>
          <w:szCs w:val="24"/>
        </w:rPr>
        <w:t>.</w:t>
      </w:r>
    </w:p>
    <w:p w14:paraId="655046F7" w14:textId="318BD188" w:rsidR="00B46340" w:rsidRPr="004E1FB4" w:rsidRDefault="00B46340" w:rsidP="0099334D">
      <w:pPr>
        <w:pStyle w:val="Subheading"/>
        <w:numPr>
          <w:ilvl w:val="0"/>
          <w:numId w:val="0"/>
        </w:numPr>
        <w:jc w:val="left"/>
        <w:rPr>
          <w:sz w:val="24"/>
          <w:szCs w:val="24"/>
        </w:rPr>
      </w:pPr>
      <w:r w:rsidRPr="004E1FB4">
        <w:rPr>
          <w:sz w:val="24"/>
          <w:szCs w:val="24"/>
        </w:rPr>
        <w:t>End of year investment report</w:t>
      </w:r>
    </w:p>
    <w:p w14:paraId="6CFDDBE9" w14:textId="311CA424" w:rsidR="00551E41" w:rsidRPr="00820F85" w:rsidRDefault="00B46340" w:rsidP="0099334D">
      <w:pPr>
        <w:pStyle w:val="ListParagraph"/>
        <w:numPr>
          <w:ilvl w:val="0"/>
          <w:numId w:val="15"/>
        </w:numPr>
        <w:ind w:left="0" w:hanging="720"/>
        <w:rPr>
          <w:rFonts w:cs="Arial"/>
          <w:bCs/>
          <w:szCs w:val="24"/>
        </w:rPr>
      </w:pPr>
      <w:r w:rsidRPr="00820F85">
        <w:rPr>
          <w:rFonts w:cs="Arial"/>
          <w:bCs/>
          <w:szCs w:val="24"/>
        </w:rPr>
        <w:t>At the end of the financial year the Council will report on its investment activity as part of the Treasury Management Outturn Report.</w:t>
      </w:r>
    </w:p>
    <w:p w14:paraId="5B10D01E" w14:textId="2292EDD2" w:rsidR="00876647" w:rsidRDefault="00876647" w:rsidP="0099334D">
      <w:pPr>
        <w:rPr>
          <w:rFonts w:cs="Arial"/>
          <w:bCs/>
          <w:color w:val="0D0D0D" w:themeColor="text1" w:themeTint="F2"/>
        </w:rPr>
      </w:pPr>
    </w:p>
    <w:p w14:paraId="79BA4955" w14:textId="77777777" w:rsidR="00C840C9" w:rsidRPr="00B46340" w:rsidRDefault="00C840C9" w:rsidP="0099334D">
      <w:pPr>
        <w:rPr>
          <w:rFonts w:cs="Arial"/>
          <w:bCs/>
          <w:color w:val="0D0D0D" w:themeColor="text1" w:themeTint="F2"/>
        </w:rPr>
      </w:pPr>
    </w:p>
    <w:p w14:paraId="5BBC76D2" w14:textId="4498FAB3" w:rsidR="00C37D93" w:rsidRPr="003D6E2F" w:rsidRDefault="00A426CF" w:rsidP="0099334D">
      <w:pPr>
        <w:pStyle w:val="Heading2"/>
        <w:rPr>
          <w:rFonts w:ascii="Arial" w:hAnsi="Arial"/>
          <w:sz w:val="28"/>
          <w:szCs w:val="28"/>
        </w:rPr>
      </w:pPr>
      <w:r w:rsidRPr="003D6E2F">
        <w:rPr>
          <w:rFonts w:ascii="Arial" w:hAnsi="Arial"/>
          <w:sz w:val="28"/>
          <w:szCs w:val="28"/>
        </w:rPr>
        <w:t>Other Treasury Issues</w:t>
      </w:r>
    </w:p>
    <w:p w14:paraId="3BD688AF" w14:textId="42A74794" w:rsidR="00C37D93" w:rsidRDefault="00C37D93" w:rsidP="0099334D"/>
    <w:p w14:paraId="2671D574" w14:textId="18314A13" w:rsidR="00253622" w:rsidRPr="00253622" w:rsidRDefault="00253622" w:rsidP="0099334D">
      <w:pPr>
        <w:rPr>
          <w:b/>
          <w:bCs/>
        </w:rPr>
      </w:pPr>
      <w:r w:rsidRPr="00253622">
        <w:rPr>
          <w:b/>
          <w:bCs/>
        </w:rPr>
        <w:t>Derivatives</w:t>
      </w:r>
    </w:p>
    <w:p w14:paraId="18EC2FEE" w14:textId="6F7BA173" w:rsidR="00A426CF" w:rsidRPr="00820F85" w:rsidRDefault="00A426CF" w:rsidP="0099334D">
      <w:pPr>
        <w:pStyle w:val="ListParagraph"/>
        <w:numPr>
          <w:ilvl w:val="0"/>
          <w:numId w:val="17"/>
        </w:numPr>
        <w:ind w:left="0" w:hanging="720"/>
        <w:rPr>
          <w:rFonts w:cs="Arial"/>
          <w:bCs/>
          <w:szCs w:val="24"/>
        </w:rPr>
      </w:pPr>
      <w:r w:rsidRPr="00820F85">
        <w:rPr>
          <w:rFonts w:cs="Arial"/>
          <w:bCs/>
          <w:szCs w:val="24"/>
        </w:rPr>
        <w:lastRenderedPageBreak/>
        <w:t>A financial derivative is a contract, whose value is based on, or ‘derived’ from, an underlying financial instrument such as a loan. Local Authorities have previously been able to make use of financial derivatives embedded into loans and investments, both to reduce interest rate risk (</w:t>
      </w:r>
      <w:proofErr w:type="gramStart"/>
      <w:r w:rsidRPr="00820F85">
        <w:rPr>
          <w:rFonts w:cs="Arial"/>
          <w:bCs/>
          <w:szCs w:val="24"/>
        </w:rPr>
        <w:t>e.g.</w:t>
      </w:r>
      <w:proofErr w:type="gramEnd"/>
      <w:r w:rsidRPr="00820F85">
        <w:rPr>
          <w:rFonts w:cs="Arial"/>
          <w:bCs/>
          <w:szCs w:val="24"/>
        </w:rPr>
        <w:t xml:space="preserve"> forward deals) and to reduce costs or increase income at the expense of greater risk (e.g. LOBO loans). </w:t>
      </w:r>
    </w:p>
    <w:p w14:paraId="37F777E8" w14:textId="77777777" w:rsidR="00A426CF" w:rsidRPr="00820F85" w:rsidRDefault="00A426CF" w:rsidP="0099334D">
      <w:pPr>
        <w:pStyle w:val="ListParagraph"/>
        <w:ind w:left="0"/>
        <w:rPr>
          <w:rFonts w:cs="Arial"/>
          <w:bCs/>
          <w:szCs w:val="24"/>
        </w:rPr>
      </w:pPr>
    </w:p>
    <w:p w14:paraId="7082B2FD" w14:textId="77777777" w:rsidR="00820F85" w:rsidRDefault="00A426CF" w:rsidP="0099334D">
      <w:pPr>
        <w:pStyle w:val="ListParagraph"/>
        <w:numPr>
          <w:ilvl w:val="0"/>
          <w:numId w:val="17"/>
        </w:numPr>
        <w:ind w:left="0" w:hanging="720"/>
        <w:rPr>
          <w:rFonts w:cs="Arial"/>
          <w:bCs/>
          <w:szCs w:val="24"/>
        </w:rPr>
      </w:pPr>
      <w:r w:rsidRPr="00820F85">
        <w:rPr>
          <w:rFonts w:cs="Arial"/>
          <w:bCs/>
          <w:szCs w:val="24"/>
        </w:rPr>
        <w:t>The general power of competence in Section 1 of the Localism Act 2011 removes much of the uncertainty over local authorities’ use of standalone financial derivatives (</w:t>
      </w:r>
      <w:proofErr w:type="gramStart"/>
      <w:r w:rsidRPr="00820F85">
        <w:rPr>
          <w:rFonts w:cs="Arial"/>
          <w:bCs/>
          <w:szCs w:val="24"/>
        </w:rPr>
        <w:t>i.e.</w:t>
      </w:r>
      <w:proofErr w:type="gramEnd"/>
      <w:r w:rsidRPr="00820F85">
        <w:rPr>
          <w:rFonts w:cs="Arial"/>
          <w:bCs/>
          <w:szCs w:val="24"/>
        </w:rPr>
        <w:t xml:space="preserve"> those that are not embedded into a loan or investment). The CIPFA Code requires local authorities to clearly detail their policy in the use of derivatives in the annual strategy.   The Council does not intend to use standalone financial derivatives (such as swaps, forwards, </w:t>
      </w:r>
      <w:proofErr w:type="gramStart"/>
      <w:r w:rsidRPr="00820F85">
        <w:rPr>
          <w:rFonts w:cs="Arial"/>
          <w:bCs/>
          <w:szCs w:val="24"/>
        </w:rPr>
        <w:t>futures</w:t>
      </w:r>
      <w:proofErr w:type="gramEnd"/>
      <w:r w:rsidRPr="00820F85">
        <w:rPr>
          <w:rFonts w:cs="Arial"/>
          <w:bCs/>
          <w:szCs w:val="24"/>
        </w:rPr>
        <w:t xml:space="preserve"> and options). No change in strategy will be made without Full Council approval.</w:t>
      </w:r>
    </w:p>
    <w:p w14:paraId="36D11919" w14:textId="77777777" w:rsidR="00253622" w:rsidRDefault="00253622" w:rsidP="0099334D">
      <w:pPr>
        <w:pStyle w:val="ListParagraph"/>
        <w:tabs>
          <w:tab w:val="left" w:pos="0"/>
        </w:tabs>
        <w:ind w:left="0"/>
        <w:rPr>
          <w:rFonts w:cs="Arial"/>
          <w:szCs w:val="24"/>
          <w:lang w:eastAsia="en-GB"/>
        </w:rPr>
      </w:pPr>
    </w:p>
    <w:p w14:paraId="2BBFCCD5" w14:textId="35F3732D" w:rsidR="00A426CF" w:rsidRPr="00253622" w:rsidRDefault="00253622" w:rsidP="0099334D">
      <w:pPr>
        <w:pStyle w:val="ListParagraph"/>
        <w:tabs>
          <w:tab w:val="left" w:pos="0"/>
        </w:tabs>
        <w:ind w:left="0"/>
        <w:rPr>
          <w:rFonts w:cs="Arial"/>
          <w:b/>
          <w:bCs/>
          <w:szCs w:val="24"/>
          <w:lang w:eastAsia="en-GB"/>
        </w:rPr>
      </w:pPr>
      <w:r w:rsidRPr="00253622">
        <w:rPr>
          <w:rFonts w:cs="Arial"/>
          <w:b/>
          <w:bCs/>
          <w:szCs w:val="24"/>
          <w:lang w:eastAsia="en-GB"/>
        </w:rPr>
        <w:t>Brokers</w:t>
      </w:r>
      <w:r w:rsidR="00A426CF" w:rsidRPr="00253622">
        <w:rPr>
          <w:rFonts w:cs="Arial"/>
          <w:b/>
          <w:bCs/>
          <w:szCs w:val="24"/>
          <w:lang w:eastAsia="en-GB"/>
        </w:rPr>
        <w:t xml:space="preserve"> </w:t>
      </w:r>
    </w:p>
    <w:p w14:paraId="707BF50B" w14:textId="77777777" w:rsidR="00253622" w:rsidRPr="00820F85" w:rsidRDefault="00253622" w:rsidP="0099334D">
      <w:pPr>
        <w:pStyle w:val="ListParagraph"/>
        <w:numPr>
          <w:ilvl w:val="0"/>
          <w:numId w:val="17"/>
        </w:numPr>
        <w:ind w:left="0" w:hanging="720"/>
        <w:rPr>
          <w:rFonts w:cs="Arial"/>
          <w:bCs/>
          <w:szCs w:val="24"/>
        </w:rPr>
      </w:pPr>
      <w:r w:rsidRPr="00820F85">
        <w:rPr>
          <w:rFonts w:cs="Arial"/>
          <w:bCs/>
          <w:szCs w:val="24"/>
        </w:rPr>
        <w:t xml:space="preserve">The Council uses four brokers on a regular basis, as well as dealing directly with leading institutions. Wherever possible the Council will spread its business amongst them on a regular basis, though this may not always be possible. Brokers currently being used are:   </w:t>
      </w:r>
    </w:p>
    <w:p w14:paraId="5E74A7B9" w14:textId="77777777" w:rsidR="00253622" w:rsidRPr="00820F85" w:rsidRDefault="00253622" w:rsidP="0099334D">
      <w:pPr>
        <w:pStyle w:val="ListParagraph"/>
        <w:numPr>
          <w:ilvl w:val="0"/>
          <w:numId w:val="1"/>
        </w:numPr>
        <w:tabs>
          <w:tab w:val="num" w:pos="709"/>
        </w:tabs>
        <w:autoSpaceDE w:val="0"/>
        <w:autoSpaceDN w:val="0"/>
        <w:adjustRightInd w:val="0"/>
        <w:rPr>
          <w:rFonts w:cs="Arial"/>
          <w:szCs w:val="24"/>
          <w:lang w:eastAsia="en-GB"/>
        </w:rPr>
      </w:pPr>
      <w:r w:rsidRPr="00820F85">
        <w:rPr>
          <w:rFonts w:cs="Arial"/>
          <w:szCs w:val="24"/>
          <w:lang w:eastAsia="en-GB"/>
        </w:rPr>
        <w:t xml:space="preserve">RP Martins  </w:t>
      </w:r>
    </w:p>
    <w:p w14:paraId="3C534072" w14:textId="77777777" w:rsidR="00253622" w:rsidRPr="00820F85" w:rsidRDefault="00253622" w:rsidP="0099334D">
      <w:pPr>
        <w:pStyle w:val="ListParagraph"/>
        <w:numPr>
          <w:ilvl w:val="0"/>
          <w:numId w:val="1"/>
        </w:numPr>
        <w:tabs>
          <w:tab w:val="num" w:pos="709"/>
        </w:tabs>
        <w:autoSpaceDE w:val="0"/>
        <w:autoSpaceDN w:val="0"/>
        <w:adjustRightInd w:val="0"/>
        <w:rPr>
          <w:rFonts w:cs="Arial"/>
          <w:szCs w:val="24"/>
          <w:lang w:eastAsia="en-GB"/>
        </w:rPr>
      </w:pPr>
      <w:r w:rsidRPr="00820F85">
        <w:rPr>
          <w:rFonts w:cs="Arial"/>
          <w:szCs w:val="24"/>
          <w:lang w:eastAsia="en-GB"/>
        </w:rPr>
        <w:t xml:space="preserve">Tradition  </w:t>
      </w:r>
    </w:p>
    <w:p w14:paraId="60DC1FE4" w14:textId="77777777" w:rsidR="00253622" w:rsidRPr="00820F85" w:rsidRDefault="00253622" w:rsidP="0099334D">
      <w:pPr>
        <w:pStyle w:val="ListParagraph"/>
        <w:numPr>
          <w:ilvl w:val="0"/>
          <w:numId w:val="1"/>
        </w:numPr>
        <w:tabs>
          <w:tab w:val="num" w:pos="709"/>
        </w:tabs>
        <w:autoSpaceDE w:val="0"/>
        <w:autoSpaceDN w:val="0"/>
        <w:adjustRightInd w:val="0"/>
        <w:rPr>
          <w:rFonts w:cs="Arial"/>
          <w:szCs w:val="24"/>
          <w:lang w:eastAsia="en-GB"/>
        </w:rPr>
      </w:pPr>
      <w:r w:rsidRPr="00820F85">
        <w:rPr>
          <w:rFonts w:cs="Arial"/>
          <w:szCs w:val="24"/>
          <w:lang w:eastAsia="en-GB"/>
        </w:rPr>
        <w:t>BGC Sterling</w:t>
      </w:r>
    </w:p>
    <w:p w14:paraId="77C05CCB" w14:textId="77777777" w:rsidR="00253622" w:rsidRPr="00820F85" w:rsidRDefault="00253622" w:rsidP="0099334D">
      <w:pPr>
        <w:pStyle w:val="ListParagraph"/>
        <w:numPr>
          <w:ilvl w:val="0"/>
          <w:numId w:val="1"/>
        </w:numPr>
        <w:tabs>
          <w:tab w:val="num" w:pos="709"/>
        </w:tabs>
        <w:autoSpaceDE w:val="0"/>
        <w:autoSpaceDN w:val="0"/>
        <w:adjustRightInd w:val="0"/>
        <w:rPr>
          <w:rFonts w:cs="Arial"/>
          <w:bCs/>
          <w:szCs w:val="24"/>
        </w:rPr>
      </w:pPr>
      <w:r w:rsidRPr="00820F85">
        <w:rPr>
          <w:rFonts w:cs="Arial"/>
          <w:szCs w:val="24"/>
          <w:lang w:eastAsia="en-GB"/>
        </w:rPr>
        <w:t>Imperial Treasury</w:t>
      </w:r>
      <w:r w:rsidRPr="00820F85">
        <w:rPr>
          <w:rFonts w:cs="Arial"/>
          <w:bCs/>
          <w:szCs w:val="24"/>
        </w:rPr>
        <w:t xml:space="preserve"> </w:t>
      </w:r>
    </w:p>
    <w:p w14:paraId="29B4D853" w14:textId="77777777" w:rsidR="00253622" w:rsidRPr="00820F85" w:rsidRDefault="00253622" w:rsidP="0099334D">
      <w:pPr>
        <w:pStyle w:val="ListParagraph"/>
        <w:ind w:left="0"/>
        <w:rPr>
          <w:rFonts w:cs="Arial"/>
          <w:bCs/>
          <w:szCs w:val="24"/>
        </w:rPr>
      </w:pPr>
    </w:p>
    <w:p w14:paraId="19DBB64E" w14:textId="6E0B3AC9" w:rsidR="00253622" w:rsidRPr="00820F85" w:rsidRDefault="00253622" w:rsidP="0099334D">
      <w:pPr>
        <w:pStyle w:val="ListParagraph"/>
        <w:numPr>
          <w:ilvl w:val="0"/>
          <w:numId w:val="17"/>
        </w:numPr>
        <w:ind w:left="0" w:hanging="720"/>
        <w:rPr>
          <w:rFonts w:cs="Arial"/>
          <w:bCs/>
          <w:szCs w:val="24"/>
        </w:rPr>
      </w:pPr>
      <w:r w:rsidRPr="00820F85">
        <w:rPr>
          <w:rFonts w:cs="Arial"/>
          <w:bCs/>
          <w:szCs w:val="24"/>
        </w:rPr>
        <w:t xml:space="preserve">The limited function performed by brokers is acknowledged; </w:t>
      </w:r>
      <w:r w:rsidR="001C1084" w:rsidRPr="00820F85">
        <w:rPr>
          <w:rFonts w:cs="Arial"/>
          <w:bCs/>
          <w:szCs w:val="24"/>
        </w:rPr>
        <w:t>however,</w:t>
      </w:r>
      <w:r w:rsidRPr="00820F85">
        <w:rPr>
          <w:rFonts w:cs="Arial"/>
          <w:bCs/>
          <w:szCs w:val="24"/>
        </w:rPr>
        <w:t xml:space="preserve"> the Council would expect to be informed if a broker had any doubts about an organisation that we were dealing with.</w:t>
      </w:r>
    </w:p>
    <w:p w14:paraId="6B313878" w14:textId="139BADAF" w:rsidR="00253622" w:rsidRDefault="00253622" w:rsidP="0099334D">
      <w:pPr>
        <w:pStyle w:val="ListParagraph"/>
        <w:tabs>
          <w:tab w:val="left" w:pos="0"/>
        </w:tabs>
        <w:ind w:left="0"/>
        <w:rPr>
          <w:rFonts w:cs="Arial"/>
          <w:szCs w:val="24"/>
          <w:lang w:eastAsia="en-GB"/>
        </w:rPr>
      </w:pPr>
    </w:p>
    <w:p w14:paraId="3062DED6" w14:textId="77777777" w:rsidR="00253622" w:rsidRDefault="00253622" w:rsidP="0099334D">
      <w:pPr>
        <w:rPr>
          <w:rFonts w:cs="Arial"/>
          <w:b/>
          <w:bCs/>
          <w:szCs w:val="24"/>
          <w:lang w:eastAsia="en-GB"/>
        </w:rPr>
      </w:pPr>
      <w:r>
        <w:rPr>
          <w:rFonts w:cs="Arial"/>
          <w:b/>
          <w:bCs/>
          <w:szCs w:val="24"/>
          <w:lang w:eastAsia="en-GB"/>
        </w:rPr>
        <w:t>Training</w:t>
      </w:r>
    </w:p>
    <w:p w14:paraId="33A4783C" w14:textId="3F230080" w:rsidR="00A664CF" w:rsidRPr="00443C07" w:rsidRDefault="00253622" w:rsidP="0099334D">
      <w:pPr>
        <w:pStyle w:val="ListParagraph"/>
        <w:numPr>
          <w:ilvl w:val="0"/>
          <w:numId w:val="17"/>
        </w:numPr>
        <w:ind w:left="0" w:hanging="720"/>
        <w:rPr>
          <w:rFonts w:cs="Arial"/>
          <w:bCs/>
          <w:szCs w:val="24"/>
        </w:rPr>
      </w:pPr>
      <w:r w:rsidRPr="00820F85">
        <w:rPr>
          <w:rFonts w:cs="Arial"/>
          <w:bCs/>
          <w:szCs w:val="24"/>
        </w:rPr>
        <w:t>The</w:t>
      </w:r>
      <w:r w:rsidR="00A664CF">
        <w:rPr>
          <w:rFonts w:cs="Arial"/>
          <w:bCs/>
          <w:szCs w:val="24"/>
        </w:rPr>
        <w:t xml:space="preserve"> CIPFA</w:t>
      </w:r>
      <w:r w:rsidRPr="00820F85">
        <w:rPr>
          <w:rFonts w:cs="Arial"/>
          <w:bCs/>
          <w:szCs w:val="24"/>
        </w:rPr>
        <w:t xml:space="preserve"> Treasury Management Code</w:t>
      </w:r>
      <w:r w:rsidR="00A664CF">
        <w:rPr>
          <w:rFonts w:cs="Arial"/>
          <w:bCs/>
          <w:szCs w:val="24"/>
        </w:rPr>
        <w:t xml:space="preserve"> of Practice</w:t>
      </w:r>
      <w:r w:rsidRPr="00820F85">
        <w:rPr>
          <w:rFonts w:cs="Arial"/>
          <w:bCs/>
          <w:szCs w:val="24"/>
        </w:rPr>
        <w:t xml:space="preserve"> requires the responsible officer to ensure that Members with responsibility for treasury management receive adequate training in this area. This especially applies to Members responsible for scrutiny. </w:t>
      </w:r>
      <w:r w:rsidR="00A664CF" w:rsidRPr="00093DF9">
        <w:rPr>
          <w:rFonts w:cs="Arial"/>
          <w:bCs/>
          <w:szCs w:val="24"/>
        </w:rPr>
        <w:t>Member training on treasury management took place on 23 May 202</w:t>
      </w:r>
      <w:r w:rsidR="00093DF9">
        <w:rPr>
          <w:rFonts w:cs="Arial"/>
          <w:bCs/>
          <w:szCs w:val="24"/>
        </w:rPr>
        <w:t>3</w:t>
      </w:r>
      <w:r w:rsidR="00443C07" w:rsidRPr="00093DF9">
        <w:rPr>
          <w:rFonts w:cs="Arial"/>
          <w:bCs/>
          <w:szCs w:val="24"/>
        </w:rPr>
        <w:t>, provided by Link Group</w:t>
      </w:r>
      <w:r w:rsidR="00A664CF" w:rsidRPr="00093DF9">
        <w:rPr>
          <w:rFonts w:cs="Arial"/>
          <w:bCs/>
          <w:szCs w:val="24"/>
        </w:rPr>
        <w:t xml:space="preserve">. </w:t>
      </w:r>
    </w:p>
    <w:p w14:paraId="7CAC4329" w14:textId="0DBA672F" w:rsidR="00253622" w:rsidRPr="00820F85" w:rsidRDefault="00253622" w:rsidP="0099334D">
      <w:pPr>
        <w:pStyle w:val="ListParagraph"/>
        <w:ind w:left="0"/>
        <w:rPr>
          <w:rFonts w:cs="Arial"/>
          <w:bCs/>
          <w:szCs w:val="24"/>
        </w:rPr>
      </w:pPr>
    </w:p>
    <w:p w14:paraId="77996D8F" w14:textId="288FA7D2" w:rsidR="00253622" w:rsidRDefault="00253622" w:rsidP="0099334D">
      <w:pPr>
        <w:pStyle w:val="ListParagraph"/>
        <w:numPr>
          <w:ilvl w:val="0"/>
          <w:numId w:val="17"/>
        </w:numPr>
        <w:ind w:left="0" w:hanging="720"/>
        <w:rPr>
          <w:rFonts w:cs="Arial"/>
          <w:bCs/>
          <w:szCs w:val="24"/>
        </w:rPr>
      </w:pPr>
      <w:r w:rsidRPr="00820F85">
        <w:rPr>
          <w:rFonts w:cs="Arial"/>
          <w:bCs/>
          <w:szCs w:val="24"/>
        </w:rPr>
        <w:t>The training needs of Treasury Management officers are periodically reviewed as part of the Learning and Development programme with appropriate training and support provided.</w:t>
      </w:r>
    </w:p>
    <w:p w14:paraId="0C9821BE" w14:textId="77777777" w:rsidR="00A664CF" w:rsidRPr="00A664CF" w:rsidRDefault="00A664CF" w:rsidP="0099334D">
      <w:pPr>
        <w:pStyle w:val="ListParagraph"/>
        <w:rPr>
          <w:rFonts w:cs="Arial"/>
          <w:bCs/>
          <w:szCs w:val="24"/>
        </w:rPr>
      </w:pPr>
    </w:p>
    <w:p w14:paraId="1F57C758" w14:textId="0726AD75" w:rsidR="00253622" w:rsidRDefault="00253622" w:rsidP="0099334D">
      <w:pPr>
        <w:pStyle w:val="ListParagraph"/>
        <w:tabs>
          <w:tab w:val="left" w:pos="0"/>
        </w:tabs>
        <w:ind w:left="0"/>
        <w:rPr>
          <w:rFonts w:cs="Arial"/>
          <w:b/>
          <w:bCs/>
          <w:szCs w:val="24"/>
          <w:lang w:eastAsia="en-GB"/>
        </w:rPr>
      </w:pPr>
      <w:r>
        <w:rPr>
          <w:rFonts w:cs="Arial"/>
          <w:b/>
          <w:bCs/>
          <w:szCs w:val="24"/>
          <w:lang w:eastAsia="en-GB"/>
        </w:rPr>
        <w:t>External Advisors</w:t>
      </w:r>
    </w:p>
    <w:p w14:paraId="0076CDF0" w14:textId="0BB292DE" w:rsidR="00253622" w:rsidRPr="00820F85" w:rsidRDefault="00253622" w:rsidP="0099334D">
      <w:pPr>
        <w:pStyle w:val="ListParagraph"/>
        <w:numPr>
          <w:ilvl w:val="0"/>
          <w:numId w:val="17"/>
        </w:numPr>
        <w:ind w:left="0" w:hanging="720"/>
        <w:rPr>
          <w:rFonts w:cs="Arial"/>
          <w:bCs/>
          <w:szCs w:val="24"/>
        </w:rPr>
      </w:pPr>
      <w:r w:rsidRPr="00820F85">
        <w:rPr>
          <w:rFonts w:cs="Arial"/>
          <w:bCs/>
          <w:szCs w:val="24"/>
        </w:rPr>
        <w:t xml:space="preserve">The Council has engaged Link Group as its external Treasury Management Adviser. </w:t>
      </w:r>
    </w:p>
    <w:p w14:paraId="68C724B6" w14:textId="77777777" w:rsidR="00253622" w:rsidRPr="00820F85" w:rsidRDefault="00253622" w:rsidP="0099334D">
      <w:pPr>
        <w:pStyle w:val="ListParagraph"/>
        <w:ind w:left="0"/>
        <w:rPr>
          <w:rFonts w:cs="Arial"/>
          <w:bCs/>
          <w:szCs w:val="24"/>
        </w:rPr>
      </w:pPr>
    </w:p>
    <w:p w14:paraId="3AD8409F" w14:textId="35411326" w:rsidR="00253622" w:rsidRPr="00820F85" w:rsidRDefault="00253622" w:rsidP="0099334D">
      <w:pPr>
        <w:pStyle w:val="ListParagraph"/>
        <w:numPr>
          <w:ilvl w:val="0"/>
          <w:numId w:val="17"/>
        </w:numPr>
        <w:ind w:left="0" w:hanging="720"/>
        <w:rPr>
          <w:rFonts w:cs="Arial"/>
          <w:bCs/>
          <w:szCs w:val="24"/>
        </w:rPr>
      </w:pPr>
      <w:r w:rsidRPr="00820F85">
        <w:rPr>
          <w:rFonts w:cs="Arial"/>
          <w:bCs/>
          <w:szCs w:val="24"/>
        </w:rPr>
        <w:t>It also recognises that there is value in employing external providers of treasury management services to acquire access to specialist skills and resources. The Council ensures that the terms of their appointment and the methods by which their value is assessed are properly agreed and documented and subjected to regular review.</w:t>
      </w:r>
    </w:p>
    <w:p w14:paraId="1533E549" w14:textId="32E98EBA" w:rsidR="00253622" w:rsidRPr="00820F85" w:rsidRDefault="00253622" w:rsidP="0099334D">
      <w:pPr>
        <w:pStyle w:val="ListParagraph"/>
        <w:ind w:left="0"/>
        <w:rPr>
          <w:rFonts w:cs="Arial"/>
          <w:bCs/>
          <w:szCs w:val="24"/>
        </w:rPr>
      </w:pPr>
    </w:p>
    <w:p w14:paraId="02EFECFA" w14:textId="36D735D1" w:rsidR="00253622" w:rsidRPr="00820F85" w:rsidRDefault="00253622" w:rsidP="0099334D">
      <w:pPr>
        <w:pStyle w:val="ListParagraph"/>
        <w:numPr>
          <w:ilvl w:val="0"/>
          <w:numId w:val="17"/>
        </w:numPr>
        <w:ind w:left="0" w:hanging="720"/>
        <w:rPr>
          <w:rFonts w:cs="Arial"/>
          <w:bCs/>
          <w:szCs w:val="24"/>
        </w:rPr>
      </w:pPr>
      <w:r w:rsidRPr="00820F85">
        <w:rPr>
          <w:rFonts w:cs="Arial"/>
          <w:bCs/>
          <w:szCs w:val="24"/>
        </w:rPr>
        <w:lastRenderedPageBreak/>
        <w:t xml:space="preserve">However, the Council recognises that responsibility for treasury management decisions always remains with itself and will ensure that undue reliance is not placed upon external service providers.  </w:t>
      </w:r>
    </w:p>
    <w:p w14:paraId="5A6B209C" w14:textId="77777777" w:rsidR="00253622" w:rsidRPr="00222AD2" w:rsidRDefault="00253622" w:rsidP="0099334D">
      <w:pPr>
        <w:pStyle w:val="ListParagraph"/>
        <w:tabs>
          <w:tab w:val="left" w:pos="0"/>
        </w:tabs>
        <w:ind w:left="0"/>
        <w:rPr>
          <w:rFonts w:cs="Arial"/>
          <w:szCs w:val="24"/>
          <w:lang w:eastAsia="en-GB"/>
        </w:rPr>
      </w:pPr>
    </w:p>
    <w:p w14:paraId="4214C9C5" w14:textId="49744ADD" w:rsidR="008F2670" w:rsidRPr="003D6E2F" w:rsidRDefault="008F2670" w:rsidP="0099334D">
      <w:pPr>
        <w:pStyle w:val="Heading2"/>
        <w:ind w:left="-142"/>
        <w:rPr>
          <w:rFonts w:ascii="Arial" w:hAnsi="Arial"/>
        </w:rPr>
      </w:pPr>
      <w:r w:rsidRPr="003D6E2F">
        <w:rPr>
          <w:rFonts w:ascii="Arial" w:hAnsi="Arial"/>
        </w:rPr>
        <w:t>Implications of the Recommendation</w:t>
      </w:r>
    </w:p>
    <w:p w14:paraId="0D68E72A" w14:textId="0C78F8CC" w:rsidR="001C1084" w:rsidRPr="001C1084" w:rsidRDefault="001C1084" w:rsidP="0099334D">
      <w:pPr>
        <w:pStyle w:val="ListParagraph"/>
        <w:tabs>
          <w:tab w:val="left" w:pos="0"/>
        </w:tabs>
        <w:ind w:left="0"/>
        <w:rPr>
          <w:rFonts w:cs="Arial"/>
          <w:szCs w:val="24"/>
          <w:lang w:eastAsia="en-GB"/>
        </w:rPr>
      </w:pPr>
    </w:p>
    <w:p w14:paraId="323F510A" w14:textId="7EEE5C35" w:rsidR="008F2670" w:rsidRDefault="001C1084" w:rsidP="0099334D">
      <w:pPr>
        <w:pStyle w:val="ListParagraph"/>
        <w:numPr>
          <w:ilvl w:val="0"/>
          <w:numId w:val="18"/>
        </w:numPr>
        <w:ind w:left="0" w:hanging="720"/>
        <w:rPr>
          <w:rFonts w:cs="Arial"/>
          <w:bCs/>
          <w:szCs w:val="24"/>
        </w:rPr>
      </w:pPr>
      <w:r w:rsidRPr="00820F85">
        <w:rPr>
          <w:rFonts w:cs="Arial"/>
          <w:bCs/>
          <w:szCs w:val="24"/>
        </w:rPr>
        <w:t>The recommendations primarily relate to the requirements for the Council to comply with statutory duties. However, the content of the report, covering borrowing and investment strategies, has implications for the Council’s ability to fund its capital projects and revenue activities.</w:t>
      </w:r>
    </w:p>
    <w:p w14:paraId="75284416" w14:textId="1002A45A" w:rsidR="00A81E19" w:rsidRPr="00364061" w:rsidRDefault="00A81E19" w:rsidP="0099334D">
      <w:pPr>
        <w:pStyle w:val="Heading3"/>
        <w:spacing w:before="480" w:after="240"/>
        <w:ind w:left="0" w:firstLine="0"/>
        <w:jc w:val="left"/>
        <w:rPr>
          <w:sz w:val="32"/>
          <w:szCs w:val="32"/>
        </w:rPr>
      </w:pPr>
      <w:r w:rsidRPr="00364061">
        <w:rPr>
          <w:sz w:val="32"/>
          <w:szCs w:val="32"/>
        </w:rPr>
        <w:t>Risk Management Implications</w:t>
      </w:r>
    </w:p>
    <w:p w14:paraId="2BEA6EC8" w14:textId="77F8C624" w:rsidR="00901BF3" w:rsidRPr="0099334D" w:rsidRDefault="00C53F1A" w:rsidP="0099334D">
      <w:pPr>
        <w:pStyle w:val="ListParagraph"/>
        <w:numPr>
          <w:ilvl w:val="0"/>
          <w:numId w:val="19"/>
        </w:numPr>
        <w:spacing w:after="120"/>
        <w:ind w:left="0" w:hanging="720"/>
        <w:rPr>
          <w:rFonts w:cs="Arial"/>
          <w:bCs/>
          <w:szCs w:val="24"/>
        </w:rPr>
      </w:pPr>
      <w:bookmarkStart w:id="20" w:name="_Hlk60923477"/>
      <w:bookmarkStart w:id="21" w:name="_Hlk60922991"/>
      <w:bookmarkStart w:id="22" w:name="_Hlk60923939"/>
      <w:r w:rsidRPr="005C0A9B">
        <w:rPr>
          <w:rFonts w:cs="Arial"/>
          <w:bCs/>
          <w:szCs w:val="24"/>
        </w:rPr>
        <w:t xml:space="preserve">Risks included on corporate or directorate risk </w:t>
      </w:r>
      <w:proofErr w:type="gramStart"/>
      <w:r w:rsidRPr="005C0A9B">
        <w:rPr>
          <w:rFonts w:cs="Arial"/>
          <w:bCs/>
          <w:szCs w:val="24"/>
        </w:rPr>
        <w:t>register?</w:t>
      </w:r>
      <w:proofErr w:type="gramEnd"/>
      <w:r w:rsidRPr="005C0A9B">
        <w:rPr>
          <w:rFonts w:cs="Arial"/>
          <w:bCs/>
          <w:szCs w:val="24"/>
        </w:rPr>
        <w:t xml:space="preserve"> </w:t>
      </w:r>
      <w:r w:rsidR="00901BF3" w:rsidRPr="005C0A9B">
        <w:rPr>
          <w:rFonts w:cs="Arial"/>
          <w:bCs/>
          <w:szCs w:val="24"/>
        </w:rPr>
        <w:t xml:space="preserve">No </w:t>
      </w:r>
      <w:r w:rsidR="007C48B3">
        <w:rPr>
          <w:rFonts w:cs="Arial"/>
          <w:bCs/>
          <w:szCs w:val="24"/>
        </w:rPr>
        <w:t>- t</w:t>
      </w:r>
      <w:r w:rsidR="00901BF3" w:rsidRPr="007C48B3">
        <w:rPr>
          <w:rFonts w:cs="Arial"/>
          <w:bCs/>
          <w:szCs w:val="24"/>
        </w:rPr>
        <w:t xml:space="preserve">he identification, monitoring and control of risk are central to the achievement of treasury objectives.  Potential risks are identified, </w:t>
      </w:r>
      <w:proofErr w:type="gramStart"/>
      <w:r w:rsidR="00901BF3" w:rsidRPr="007C48B3">
        <w:rPr>
          <w:rFonts w:cs="Arial"/>
          <w:bCs/>
          <w:szCs w:val="24"/>
        </w:rPr>
        <w:t>mitigated</w:t>
      </w:r>
      <w:proofErr w:type="gramEnd"/>
      <w:r w:rsidR="00901BF3" w:rsidRPr="007C48B3">
        <w:rPr>
          <w:rFonts w:cs="Arial"/>
          <w:bCs/>
          <w:szCs w:val="24"/>
        </w:rPr>
        <w:t xml:space="preserve"> and monitored in accordance with treasury practice notes approved by the Treasury Management Group.</w:t>
      </w:r>
      <w:r w:rsidR="00860271" w:rsidRPr="007C48B3">
        <w:rPr>
          <w:rFonts w:cs="Arial"/>
          <w:bCs/>
          <w:szCs w:val="24"/>
        </w:rPr>
        <w:t xml:space="preserve"> </w:t>
      </w:r>
    </w:p>
    <w:p w14:paraId="00B31EDB" w14:textId="54942B16" w:rsidR="00C53F1A" w:rsidRPr="00820F85" w:rsidRDefault="00C53F1A" w:rsidP="0099334D">
      <w:pPr>
        <w:pStyle w:val="ListParagraph"/>
        <w:numPr>
          <w:ilvl w:val="0"/>
          <w:numId w:val="19"/>
        </w:numPr>
        <w:ind w:left="0" w:hanging="720"/>
        <w:rPr>
          <w:rFonts w:cs="Arial"/>
          <w:bCs/>
          <w:szCs w:val="24"/>
        </w:rPr>
      </w:pPr>
      <w:r w:rsidRPr="00820F85">
        <w:rPr>
          <w:rFonts w:cs="Arial"/>
          <w:bCs/>
          <w:szCs w:val="24"/>
        </w:rPr>
        <w:t xml:space="preserve">Separate risk register in place? </w:t>
      </w:r>
      <w:r w:rsidRPr="00820F85">
        <w:rPr>
          <w:rFonts w:cs="Arial"/>
          <w:b/>
          <w:szCs w:val="24"/>
        </w:rPr>
        <w:t xml:space="preserve">No </w:t>
      </w:r>
    </w:p>
    <w:p w14:paraId="72B374FF" w14:textId="77777777" w:rsidR="00C53F1A" w:rsidRDefault="00C53F1A" w:rsidP="0099334D">
      <w:pPr>
        <w:tabs>
          <w:tab w:val="left" w:pos="5610"/>
        </w:tabs>
        <w:ind w:left="567" w:right="81" w:hanging="567"/>
      </w:pPr>
    </w:p>
    <w:p w14:paraId="45AEB19F" w14:textId="1FD9ED10" w:rsidR="00105B8A" w:rsidRDefault="00C53F1A" w:rsidP="0099334D">
      <w:pPr>
        <w:tabs>
          <w:tab w:val="left" w:pos="5610"/>
        </w:tabs>
        <w:spacing w:after="120"/>
        <w:ind w:right="81"/>
      </w:pPr>
      <w:r w:rsidRPr="00551E41">
        <w:t xml:space="preserve">The relevant risks contained in the register are attached/summarised below. </w:t>
      </w:r>
      <w:r w:rsidR="00A106EF">
        <w:rPr>
          <w:rFonts w:cs="Arial"/>
          <w:b/>
          <w:bCs/>
          <w:szCs w:val="24"/>
          <w:lang w:val="en-US" w:eastAsia="en-GB"/>
        </w:rPr>
        <w:t>N/A</w:t>
      </w:r>
      <w:r w:rsidR="00105B8A" w:rsidRPr="00551E41">
        <w:rPr>
          <w:rFonts w:cs="Arial"/>
          <w:b/>
          <w:bCs/>
          <w:szCs w:val="24"/>
          <w:lang w:val="en-US" w:eastAsia="en-GB"/>
        </w:rPr>
        <w:t xml:space="preserve"> </w:t>
      </w:r>
    </w:p>
    <w:p w14:paraId="68B1512C" w14:textId="014BA52A" w:rsidR="00C53F1A" w:rsidRDefault="00F23F7C" w:rsidP="0099334D">
      <w:r w:rsidRPr="00F23F7C">
        <w:t>The risks of treasury management activity are clearly acknowledged in the main body of the report along with appropriate mitigations however the</w:t>
      </w:r>
      <w:r w:rsidR="00C53F1A" w:rsidRPr="00F23F7C">
        <w:t xml:space="preserve"> following key risks should be </w:t>
      </w:r>
      <w:proofErr w:type="gramStart"/>
      <w:r w:rsidR="00C53F1A" w:rsidRPr="00F23F7C">
        <w:t xml:space="preserve">taken </w:t>
      </w:r>
      <w:r w:rsidR="00105B8A" w:rsidRPr="00F23F7C">
        <w:t>i</w:t>
      </w:r>
      <w:r w:rsidR="00C53F1A" w:rsidRPr="00F23F7C">
        <w:t>nto account</w:t>
      </w:r>
      <w:proofErr w:type="gramEnd"/>
      <w:r w:rsidR="00C53F1A" w:rsidRPr="00F23F7C">
        <w:t xml:space="preserve"> when agreeing </w:t>
      </w:r>
      <w:r w:rsidR="00C53F1A">
        <w:t>the recommendations in this report:</w:t>
      </w:r>
    </w:p>
    <w:p w14:paraId="480151FA" w14:textId="77777777" w:rsidR="002C617D" w:rsidRDefault="002C617D" w:rsidP="00A106EF">
      <w:pPr>
        <w:ind w:right="141"/>
        <w:rPr>
          <w:rFonts w:cs="Arial"/>
          <w:szCs w:val="24"/>
          <w:lang w:val="en-US" w:eastAsia="en-GB"/>
        </w:rPr>
      </w:pPr>
    </w:p>
    <w:tbl>
      <w:tblPr>
        <w:tblW w:w="9639" w:type="dxa"/>
        <w:tblInd w:w="-572" w:type="dxa"/>
        <w:tblCellMar>
          <w:left w:w="10" w:type="dxa"/>
          <w:right w:w="10" w:type="dxa"/>
        </w:tblCellMar>
        <w:tblLook w:val="04A0" w:firstRow="1" w:lastRow="0" w:firstColumn="1" w:lastColumn="0" w:noHBand="0" w:noVBand="1"/>
        <w:tblCaption w:val="Risk description table"/>
        <w:tblDescription w:val="Risk description table listing risk management implications "/>
      </w:tblPr>
      <w:tblGrid>
        <w:gridCol w:w="3615"/>
        <w:gridCol w:w="11"/>
        <w:gridCol w:w="4425"/>
        <w:gridCol w:w="1588"/>
      </w:tblGrid>
      <w:tr w:rsidR="002C617D" w14:paraId="24E269DB" w14:textId="77777777" w:rsidTr="00860271">
        <w:trPr>
          <w:tblHeader/>
        </w:trPr>
        <w:tc>
          <w:tcPr>
            <w:tcW w:w="362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5B2B890" w14:textId="77777777" w:rsidR="002C617D" w:rsidRDefault="002C617D" w:rsidP="002C617D">
            <w:pPr>
              <w:spacing w:line="247" w:lineRule="auto"/>
              <w:ind w:right="141"/>
              <w:rPr>
                <w:rFonts w:cs="Arial"/>
                <w:b/>
                <w:bCs/>
                <w:szCs w:val="24"/>
                <w:lang w:val="en-US" w:eastAsia="en-GB"/>
              </w:rPr>
            </w:pPr>
            <w:r>
              <w:rPr>
                <w:rFonts w:cs="Arial"/>
                <w:b/>
                <w:bCs/>
                <w:szCs w:val="24"/>
                <w:lang w:val="en-US" w:eastAsia="en-GB"/>
              </w:rPr>
              <w:t>Risk Description</w:t>
            </w:r>
          </w:p>
        </w:tc>
        <w:tc>
          <w:tcPr>
            <w:tcW w:w="4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45F56DC" w14:textId="77777777" w:rsidR="002C617D" w:rsidRDefault="002C617D" w:rsidP="002C617D">
            <w:pPr>
              <w:spacing w:line="247" w:lineRule="auto"/>
              <w:ind w:right="141"/>
              <w:rPr>
                <w:rFonts w:cs="Arial"/>
                <w:b/>
                <w:bCs/>
                <w:szCs w:val="24"/>
                <w:lang w:val="en-US" w:eastAsia="en-GB"/>
              </w:rPr>
            </w:pPr>
            <w:r>
              <w:rPr>
                <w:rFonts w:cs="Arial"/>
                <w:b/>
                <w:bCs/>
                <w:szCs w:val="24"/>
                <w:lang w:val="en-US" w:eastAsia="en-GB"/>
              </w:rPr>
              <w:t>Mitigations</w:t>
            </w:r>
          </w:p>
        </w:tc>
        <w:tc>
          <w:tcPr>
            <w:tcW w:w="1588" w:type="dxa"/>
            <w:tcBorders>
              <w:top w:val="single" w:sz="4" w:space="0" w:color="000000"/>
              <w:left w:val="single" w:sz="4" w:space="0" w:color="000000"/>
              <w:bottom w:val="single" w:sz="4" w:space="0" w:color="000000"/>
              <w:right w:val="single" w:sz="4" w:space="0" w:color="000000"/>
            </w:tcBorders>
            <w:vAlign w:val="center"/>
            <w:hideMark/>
          </w:tcPr>
          <w:p w14:paraId="38941B27" w14:textId="77777777" w:rsidR="002C617D" w:rsidRDefault="002C617D" w:rsidP="002C617D">
            <w:pPr>
              <w:spacing w:line="247" w:lineRule="auto"/>
              <w:ind w:left="171" w:right="141"/>
              <w:rPr>
                <w:rFonts w:cs="Arial"/>
                <w:b/>
                <w:bCs/>
                <w:szCs w:val="24"/>
                <w:lang w:val="en-US" w:eastAsia="en-GB"/>
              </w:rPr>
            </w:pPr>
            <w:r>
              <w:rPr>
                <w:rFonts w:cs="Arial"/>
                <w:b/>
                <w:bCs/>
                <w:szCs w:val="24"/>
                <w:lang w:val="en-US" w:eastAsia="en-GB"/>
              </w:rPr>
              <w:t>RAG Status</w:t>
            </w:r>
          </w:p>
        </w:tc>
      </w:tr>
      <w:tr w:rsidR="002C617D" w14:paraId="7380D78E" w14:textId="77777777" w:rsidTr="00860271">
        <w:tc>
          <w:tcPr>
            <w:tcW w:w="362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03C35D" w14:textId="77777777" w:rsidR="002C617D" w:rsidRDefault="002C617D" w:rsidP="002C617D">
            <w:pPr>
              <w:suppressAutoHyphens/>
              <w:autoSpaceDN w:val="0"/>
              <w:ind w:right="141"/>
              <w:textAlignment w:val="baseline"/>
              <w:rPr>
                <w:rFonts w:cs="Arial"/>
                <w:szCs w:val="24"/>
                <w:lang w:eastAsia="en-GB"/>
              </w:rPr>
            </w:pPr>
            <w:r>
              <w:rPr>
                <w:rFonts w:cs="Arial"/>
                <w:szCs w:val="24"/>
                <w:lang w:eastAsia="en-GB"/>
              </w:rPr>
              <w:t xml:space="preserve">Cash not available when </w:t>
            </w:r>
            <w:proofErr w:type="gramStart"/>
            <w:r>
              <w:rPr>
                <w:rFonts w:cs="Arial"/>
                <w:szCs w:val="24"/>
                <w:lang w:eastAsia="en-GB"/>
              </w:rPr>
              <w:t>needed</w:t>
            </w:r>
            <w:proofErr w:type="gramEnd"/>
          </w:p>
          <w:p w14:paraId="346A813B" w14:textId="77777777" w:rsidR="002C617D" w:rsidRPr="00136B10" w:rsidRDefault="002C617D" w:rsidP="002C617D">
            <w:pPr>
              <w:spacing w:line="247" w:lineRule="auto"/>
              <w:ind w:right="141"/>
              <w:rPr>
                <w:rFonts w:cs="Arial"/>
                <w:szCs w:val="24"/>
                <w:highlight w:val="red"/>
                <w:lang w:val="en-US" w:eastAsia="en-GB"/>
              </w:rPr>
            </w:pPr>
          </w:p>
        </w:tc>
        <w:tc>
          <w:tcPr>
            <w:tcW w:w="4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EC81FB" w14:textId="77777777" w:rsidR="002C617D" w:rsidRDefault="002C617D" w:rsidP="0064287C">
            <w:pPr>
              <w:numPr>
                <w:ilvl w:val="0"/>
                <w:numId w:val="26"/>
              </w:numPr>
              <w:suppressAutoHyphens/>
              <w:autoSpaceDN w:val="0"/>
              <w:ind w:left="270" w:right="141" w:hanging="295"/>
              <w:jc w:val="both"/>
              <w:textAlignment w:val="baseline"/>
              <w:rPr>
                <w:rFonts w:cs="Arial"/>
                <w:szCs w:val="24"/>
                <w:lang w:val="en-US" w:eastAsia="en-GB"/>
              </w:rPr>
            </w:pPr>
            <w:r>
              <w:rPr>
                <w:rFonts w:cs="Arial"/>
                <w:szCs w:val="24"/>
                <w:lang w:eastAsia="en-GB"/>
              </w:rPr>
              <w:t xml:space="preserve">Working capital and borrowing position designed to maintain the required level of cash </w:t>
            </w:r>
            <w:proofErr w:type="gramStart"/>
            <w:r>
              <w:rPr>
                <w:rFonts w:cs="Arial"/>
                <w:szCs w:val="24"/>
                <w:lang w:eastAsia="en-GB"/>
              </w:rPr>
              <w:t>balances</w:t>
            </w:r>
            <w:proofErr w:type="gramEnd"/>
          </w:p>
          <w:p w14:paraId="30437A50" w14:textId="77777777" w:rsidR="002C617D" w:rsidRDefault="002C617D" w:rsidP="0064287C">
            <w:pPr>
              <w:numPr>
                <w:ilvl w:val="0"/>
                <w:numId w:val="26"/>
              </w:numPr>
              <w:suppressAutoHyphens/>
              <w:autoSpaceDN w:val="0"/>
              <w:ind w:left="270" w:right="141" w:hanging="295"/>
              <w:jc w:val="both"/>
              <w:textAlignment w:val="baseline"/>
              <w:rPr>
                <w:rFonts w:cs="Arial"/>
                <w:szCs w:val="24"/>
                <w:lang w:val="en-US" w:eastAsia="en-GB"/>
              </w:rPr>
            </w:pPr>
            <w:r>
              <w:rPr>
                <w:rFonts w:cs="Arial"/>
                <w:szCs w:val="24"/>
                <w:lang w:eastAsia="en-GB"/>
              </w:rPr>
              <w:t xml:space="preserve">The balance of debt and investment operations ensure </w:t>
            </w:r>
            <w:proofErr w:type="gramStart"/>
            <w:r>
              <w:rPr>
                <w:rFonts w:cs="Arial"/>
                <w:szCs w:val="24"/>
                <w:lang w:eastAsia="en-GB"/>
              </w:rPr>
              <w:t>liquidity</w:t>
            </w:r>
            <w:proofErr w:type="gramEnd"/>
          </w:p>
          <w:p w14:paraId="27B819EB" w14:textId="77777777" w:rsidR="002C617D" w:rsidRPr="0091533C" w:rsidRDefault="002C617D" w:rsidP="0064287C">
            <w:pPr>
              <w:numPr>
                <w:ilvl w:val="0"/>
                <w:numId w:val="26"/>
              </w:numPr>
              <w:suppressAutoHyphens/>
              <w:autoSpaceDN w:val="0"/>
              <w:ind w:left="270" w:right="141" w:hanging="295"/>
              <w:jc w:val="both"/>
              <w:textAlignment w:val="baseline"/>
              <w:rPr>
                <w:szCs w:val="24"/>
                <w:lang w:val="en-US"/>
              </w:rPr>
            </w:pPr>
            <w:r w:rsidRPr="0091533C">
              <w:rPr>
                <w:rFonts w:cs="Arial"/>
                <w:szCs w:val="24"/>
                <w:lang w:eastAsia="en-GB"/>
              </w:rPr>
              <w:t>The treasury management function ensures that the Council’s cash is organised in accordance with the relevant professional codes, so that sufficient cash is available to meet this service activity and the Council’s capital strategy.</w:t>
            </w:r>
          </w:p>
        </w:tc>
        <w:tc>
          <w:tcPr>
            <w:tcW w:w="1588" w:type="dxa"/>
            <w:tcBorders>
              <w:top w:val="single" w:sz="4" w:space="0" w:color="000000"/>
              <w:left w:val="single" w:sz="4" w:space="0" w:color="000000"/>
              <w:bottom w:val="single" w:sz="4" w:space="0" w:color="000000"/>
              <w:right w:val="single" w:sz="4" w:space="0" w:color="000000"/>
            </w:tcBorders>
            <w:shd w:val="clear" w:color="auto" w:fill="92D050"/>
            <w:vAlign w:val="center"/>
            <w:hideMark/>
          </w:tcPr>
          <w:p w14:paraId="5CC71174" w14:textId="77777777" w:rsidR="002C617D" w:rsidRPr="00860271" w:rsidRDefault="002C617D" w:rsidP="00860271">
            <w:pPr>
              <w:pStyle w:val="ListParagraph"/>
              <w:suppressAutoHyphens/>
              <w:autoSpaceDN w:val="0"/>
              <w:ind w:right="141"/>
              <w:textAlignment w:val="baseline"/>
              <w:rPr>
                <w:rFonts w:cs="Arial"/>
                <w:b/>
                <w:bCs/>
                <w:szCs w:val="24"/>
                <w:lang w:val="en-US" w:eastAsia="en-GB"/>
              </w:rPr>
            </w:pPr>
          </w:p>
          <w:p w14:paraId="5BF57B1C" w14:textId="53C6597A" w:rsidR="002C617D" w:rsidRPr="00860271" w:rsidRDefault="00860271" w:rsidP="00860271">
            <w:pPr>
              <w:pStyle w:val="ListParagraph"/>
              <w:spacing w:line="247" w:lineRule="auto"/>
              <w:ind w:left="305" w:right="141" w:firstLine="2"/>
              <w:rPr>
                <w:rFonts w:cs="Arial"/>
                <w:b/>
                <w:bCs/>
                <w:szCs w:val="24"/>
                <w:lang w:val="en-US" w:eastAsia="en-GB"/>
              </w:rPr>
            </w:pPr>
            <w:r w:rsidRPr="00860271">
              <w:rPr>
                <w:rFonts w:cs="Arial"/>
                <w:b/>
                <w:bCs/>
                <w:szCs w:val="24"/>
                <w:lang w:val="en-US" w:eastAsia="en-GB"/>
              </w:rPr>
              <w:t>GREEN</w:t>
            </w:r>
          </w:p>
        </w:tc>
      </w:tr>
      <w:tr w:rsidR="00860271" w14:paraId="2D3222A0" w14:textId="77777777" w:rsidTr="00860271">
        <w:tc>
          <w:tcPr>
            <w:tcW w:w="362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DA627D" w14:textId="77777777" w:rsidR="00860271" w:rsidRPr="00136B10" w:rsidRDefault="00860271" w:rsidP="00860271">
            <w:pPr>
              <w:spacing w:line="247" w:lineRule="auto"/>
              <w:ind w:right="141"/>
              <w:rPr>
                <w:rFonts w:cs="Arial"/>
                <w:szCs w:val="24"/>
                <w:highlight w:val="red"/>
                <w:lang w:val="en-US" w:eastAsia="en-GB"/>
              </w:rPr>
            </w:pPr>
            <w:r>
              <w:rPr>
                <w:rFonts w:cs="Arial"/>
                <w:szCs w:val="24"/>
                <w:lang w:eastAsia="en-GB"/>
              </w:rPr>
              <w:t>Sums invested result in a loss</w:t>
            </w:r>
          </w:p>
        </w:tc>
        <w:tc>
          <w:tcPr>
            <w:tcW w:w="4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0131A6" w14:textId="36C5A8D5" w:rsidR="00860271" w:rsidRPr="00364061" w:rsidRDefault="00860271" w:rsidP="00860271">
            <w:pPr>
              <w:pStyle w:val="ListParagraph"/>
              <w:numPr>
                <w:ilvl w:val="0"/>
                <w:numId w:val="26"/>
              </w:numPr>
              <w:suppressAutoHyphens/>
              <w:autoSpaceDN w:val="0"/>
              <w:spacing w:line="247" w:lineRule="auto"/>
              <w:ind w:left="270" w:right="141" w:hanging="295"/>
              <w:jc w:val="both"/>
              <w:rPr>
                <w:szCs w:val="24"/>
                <w:lang w:val="en-US"/>
              </w:rPr>
            </w:pPr>
            <w:r w:rsidRPr="00364061">
              <w:rPr>
                <w:rFonts w:cs="Arial"/>
                <w:szCs w:val="24"/>
                <w:lang w:val="en-US" w:eastAsia="en-GB"/>
              </w:rPr>
              <w:t xml:space="preserve">The Council’s investment priorities will be security first, portfolio liquidity second and then yield, (return). The Council will aim to achieve the optimum return (yield) on its investments commensurate with proper levels of security and liquidity and with the Council’s </w:t>
            </w:r>
            <w:r>
              <w:rPr>
                <w:rFonts w:cs="Arial"/>
                <w:szCs w:val="24"/>
                <w:lang w:val="en-US" w:eastAsia="en-GB"/>
              </w:rPr>
              <w:t xml:space="preserve">low </w:t>
            </w:r>
            <w:r w:rsidRPr="00364061">
              <w:rPr>
                <w:rFonts w:cs="Arial"/>
                <w:szCs w:val="24"/>
                <w:lang w:val="en-US" w:eastAsia="en-GB"/>
              </w:rPr>
              <w:t xml:space="preserve">risk appetite. </w:t>
            </w:r>
          </w:p>
        </w:tc>
        <w:tc>
          <w:tcPr>
            <w:tcW w:w="158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BC42966" w14:textId="77777777" w:rsidR="00860271" w:rsidRPr="00860271" w:rsidRDefault="00860271" w:rsidP="00860271">
            <w:pPr>
              <w:pStyle w:val="ListParagraph"/>
              <w:suppressAutoHyphens/>
              <w:autoSpaceDN w:val="0"/>
              <w:ind w:right="141" w:hanging="720"/>
              <w:textAlignment w:val="baseline"/>
              <w:rPr>
                <w:rFonts w:cs="Arial"/>
                <w:b/>
                <w:bCs/>
                <w:szCs w:val="24"/>
                <w:lang w:val="en-US" w:eastAsia="en-GB"/>
              </w:rPr>
            </w:pPr>
          </w:p>
          <w:p w14:paraId="59DA77C8" w14:textId="6F7504E5" w:rsidR="00860271" w:rsidRPr="00364061" w:rsidRDefault="00860271" w:rsidP="00860271">
            <w:pPr>
              <w:pStyle w:val="ListParagraph"/>
              <w:spacing w:line="247" w:lineRule="auto"/>
              <w:ind w:right="141" w:hanging="415"/>
              <w:rPr>
                <w:rFonts w:cs="Arial"/>
                <w:szCs w:val="24"/>
                <w:lang w:val="en-US" w:eastAsia="en-GB"/>
              </w:rPr>
            </w:pPr>
            <w:r w:rsidRPr="00860271">
              <w:rPr>
                <w:rFonts w:cs="Arial"/>
                <w:b/>
                <w:bCs/>
                <w:szCs w:val="24"/>
                <w:lang w:val="en-US" w:eastAsia="en-GB"/>
              </w:rPr>
              <w:t>GREEN</w:t>
            </w:r>
          </w:p>
        </w:tc>
      </w:tr>
      <w:tr w:rsidR="00860271" w14:paraId="46CACF30" w14:textId="77777777" w:rsidTr="00D8132D">
        <w:tc>
          <w:tcPr>
            <w:tcW w:w="362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672E56" w14:textId="77777777" w:rsidR="00860271" w:rsidRDefault="00860271" w:rsidP="00860271">
            <w:pPr>
              <w:suppressAutoHyphens/>
              <w:autoSpaceDN w:val="0"/>
              <w:ind w:right="141"/>
              <w:textAlignment w:val="baseline"/>
              <w:rPr>
                <w:rFonts w:cs="Arial"/>
                <w:szCs w:val="24"/>
                <w:lang w:eastAsia="en-GB"/>
              </w:rPr>
            </w:pPr>
            <w:r>
              <w:rPr>
                <w:rFonts w:cs="Arial"/>
                <w:szCs w:val="24"/>
                <w:lang w:eastAsia="en-GB"/>
              </w:rPr>
              <w:lastRenderedPageBreak/>
              <w:t xml:space="preserve">Council’s capital investment programme is not affordable, prudent or </w:t>
            </w:r>
            <w:proofErr w:type="gramStart"/>
            <w:r>
              <w:rPr>
                <w:rFonts w:cs="Arial"/>
                <w:szCs w:val="24"/>
                <w:lang w:eastAsia="en-GB"/>
              </w:rPr>
              <w:t>sustainable</w:t>
            </w:r>
            <w:proofErr w:type="gramEnd"/>
          </w:p>
          <w:p w14:paraId="4C698DC1" w14:textId="77777777" w:rsidR="00860271" w:rsidRPr="00136B10" w:rsidRDefault="00860271" w:rsidP="00860271">
            <w:pPr>
              <w:spacing w:line="247" w:lineRule="auto"/>
              <w:ind w:right="141"/>
              <w:rPr>
                <w:rFonts w:cs="Arial"/>
                <w:szCs w:val="24"/>
                <w:highlight w:val="red"/>
                <w:lang w:val="en-US" w:eastAsia="en-GB"/>
              </w:rPr>
            </w:pPr>
          </w:p>
        </w:tc>
        <w:tc>
          <w:tcPr>
            <w:tcW w:w="4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701057" w14:textId="77777777" w:rsidR="00860271" w:rsidRDefault="00860271" w:rsidP="00860271">
            <w:pPr>
              <w:numPr>
                <w:ilvl w:val="0"/>
                <w:numId w:val="26"/>
              </w:numPr>
              <w:suppressAutoHyphens/>
              <w:autoSpaceDN w:val="0"/>
              <w:ind w:left="270" w:right="141" w:hanging="295"/>
              <w:jc w:val="both"/>
              <w:textAlignment w:val="baseline"/>
              <w:rPr>
                <w:rFonts w:cs="Arial"/>
                <w:szCs w:val="24"/>
                <w:lang w:val="en-US" w:eastAsia="en-GB"/>
              </w:rPr>
            </w:pPr>
            <w:r>
              <w:rPr>
                <w:rFonts w:cs="Arial"/>
                <w:szCs w:val="24"/>
                <w:lang w:eastAsia="en-GB"/>
              </w:rPr>
              <w:t>One of the Prudential Indicators of affordability is the ratio of financing costs to net revenue stream, assessing the actual and estimated cost of capital against the income of the Authority.  Table 8</w:t>
            </w:r>
          </w:p>
          <w:p w14:paraId="4E2F8A4F" w14:textId="77777777" w:rsidR="00860271" w:rsidRDefault="00860271" w:rsidP="00860271">
            <w:pPr>
              <w:numPr>
                <w:ilvl w:val="0"/>
                <w:numId w:val="26"/>
              </w:numPr>
              <w:suppressAutoHyphens/>
              <w:autoSpaceDN w:val="0"/>
              <w:ind w:left="270" w:right="141" w:hanging="295"/>
              <w:jc w:val="both"/>
              <w:textAlignment w:val="baseline"/>
              <w:rPr>
                <w:rFonts w:cs="Arial"/>
                <w:szCs w:val="24"/>
                <w:lang w:val="en-US" w:eastAsia="en-GB"/>
              </w:rPr>
            </w:pPr>
            <w:r>
              <w:rPr>
                <w:rFonts w:cs="Arial"/>
                <w:szCs w:val="24"/>
                <w:lang w:val="en-US" w:eastAsia="en-GB"/>
              </w:rPr>
              <w:t>Limits on borrowing activity</w:t>
            </w:r>
          </w:p>
          <w:p w14:paraId="0FD08569" w14:textId="773FF6D5" w:rsidR="00860271" w:rsidRPr="00EF27B8" w:rsidRDefault="00860271" w:rsidP="00860271">
            <w:pPr>
              <w:numPr>
                <w:ilvl w:val="0"/>
                <w:numId w:val="26"/>
              </w:numPr>
              <w:suppressAutoHyphens/>
              <w:autoSpaceDN w:val="0"/>
              <w:ind w:left="270" w:right="141" w:hanging="295"/>
              <w:jc w:val="both"/>
              <w:textAlignment w:val="baseline"/>
              <w:rPr>
                <w:szCs w:val="24"/>
              </w:rPr>
            </w:pPr>
            <w:r w:rsidRPr="00101D55">
              <w:rPr>
                <w:rFonts w:cs="Arial"/>
                <w:szCs w:val="24"/>
                <w:lang w:eastAsia="en-GB"/>
              </w:rPr>
              <w:t xml:space="preserve">The Council is currently maintaining an under-borrowed position. </w:t>
            </w:r>
            <w:r w:rsidRPr="00B375BC">
              <w:rPr>
                <w:rFonts w:cs="Arial"/>
                <w:szCs w:val="24"/>
                <w:lang w:eastAsia="en-GB"/>
              </w:rPr>
              <w:t xml:space="preserve">This is estimated to be £196m as </w:t>
            </w:r>
            <w:proofErr w:type="gramStart"/>
            <w:r w:rsidRPr="00B375BC">
              <w:rPr>
                <w:rFonts w:cs="Arial"/>
                <w:szCs w:val="24"/>
                <w:lang w:eastAsia="en-GB"/>
              </w:rPr>
              <w:t>at</w:t>
            </w:r>
            <w:proofErr w:type="gramEnd"/>
            <w:r w:rsidRPr="00B375BC">
              <w:rPr>
                <w:rFonts w:cs="Arial"/>
                <w:szCs w:val="24"/>
                <w:lang w:eastAsia="en-GB"/>
              </w:rPr>
              <w:t xml:space="preserve"> 31st March 2024.</w:t>
            </w:r>
          </w:p>
        </w:tc>
        <w:tc>
          <w:tcPr>
            <w:tcW w:w="158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0B229E3" w14:textId="77777777" w:rsidR="00860271" w:rsidRPr="00860271" w:rsidRDefault="00860271" w:rsidP="00860271">
            <w:pPr>
              <w:pStyle w:val="ListParagraph"/>
              <w:suppressAutoHyphens/>
              <w:autoSpaceDN w:val="0"/>
              <w:ind w:right="141" w:hanging="557"/>
              <w:textAlignment w:val="baseline"/>
              <w:rPr>
                <w:rFonts w:cs="Arial"/>
                <w:b/>
                <w:bCs/>
                <w:szCs w:val="24"/>
                <w:lang w:val="en-US" w:eastAsia="en-GB"/>
              </w:rPr>
            </w:pPr>
          </w:p>
          <w:p w14:paraId="4D9ACD82" w14:textId="5DFDDA61" w:rsidR="00860271" w:rsidRPr="00364061" w:rsidRDefault="00860271" w:rsidP="00860271">
            <w:pPr>
              <w:pStyle w:val="ListParagraph"/>
              <w:spacing w:line="247" w:lineRule="auto"/>
              <w:ind w:right="141" w:hanging="557"/>
              <w:jc w:val="center"/>
              <w:rPr>
                <w:rFonts w:cs="Arial"/>
                <w:szCs w:val="24"/>
                <w:lang w:val="en-US" w:eastAsia="en-GB"/>
              </w:rPr>
            </w:pPr>
            <w:r w:rsidRPr="00860271">
              <w:rPr>
                <w:rFonts w:cs="Arial"/>
                <w:b/>
                <w:bCs/>
                <w:szCs w:val="24"/>
                <w:lang w:val="en-US" w:eastAsia="en-GB"/>
              </w:rPr>
              <w:t>GREEN</w:t>
            </w:r>
          </w:p>
        </w:tc>
      </w:tr>
      <w:tr w:rsidR="00860271" w:rsidRPr="00F3485E" w14:paraId="2E20F9F7" w14:textId="77777777" w:rsidTr="00D8132D">
        <w:tblPrEx>
          <w:tblLook w:val="0000" w:firstRow="0" w:lastRow="0" w:firstColumn="0" w:lastColumn="0" w:noHBand="0" w:noVBand="0"/>
        </w:tblPrEx>
        <w:tc>
          <w:tcPr>
            <w:tcW w:w="3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7B51E8" w14:textId="77777777" w:rsidR="00860271" w:rsidRPr="002C617D" w:rsidRDefault="00860271" w:rsidP="00860271">
            <w:pPr>
              <w:suppressAutoHyphens/>
              <w:autoSpaceDN w:val="0"/>
              <w:ind w:right="141"/>
              <w:textAlignment w:val="baseline"/>
              <w:rPr>
                <w:rFonts w:cs="Arial"/>
                <w:szCs w:val="24"/>
                <w:lang w:eastAsia="en-GB"/>
              </w:rPr>
            </w:pPr>
            <w:r w:rsidRPr="002C617D">
              <w:rPr>
                <w:rFonts w:cs="Arial"/>
                <w:szCs w:val="24"/>
                <w:lang w:eastAsia="en-GB"/>
              </w:rPr>
              <w:t>VFM is not achieved</w:t>
            </w:r>
          </w:p>
        </w:tc>
        <w:tc>
          <w:tcPr>
            <w:tcW w:w="44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021995" w14:textId="77777777" w:rsidR="00860271" w:rsidRPr="002C617D" w:rsidRDefault="00860271" w:rsidP="00860271">
            <w:pPr>
              <w:numPr>
                <w:ilvl w:val="0"/>
                <w:numId w:val="26"/>
              </w:numPr>
              <w:suppressAutoHyphens/>
              <w:autoSpaceDN w:val="0"/>
              <w:ind w:left="270" w:right="141" w:hanging="295"/>
              <w:jc w:val="both"/>
              <w:textAlignment w:val="baseline"/>
              <w:rPr>
                <w:rFonts w:cs="Arial"/>
                <w:szCs w:val="24"/>
                <w:lang w:eastAsia="en-GB"/>
              </w:rPr>
            </w:pPr>
            <w:r w:rsidRPr="002C617D">
              <w:rPr>
                <w:rFonts w:cs="Arial"/>
                <w:szCs w:val="24"/>
                <w:lang w:eastAsia="en-GB"/>
              </w:rPr>
              <w:t xml:space="preserve">The Council will monitor the yield from investment income against appropriate benchmarks for investment performance.  </w:t>
            </w:r>
          </w:p>
          <w:p w14:paraId="4ADC001D" w14:textId="5E6FAEB5" w:rsidR="00860271" w:rsidRPr="002C617D" w:rsidRDefault="00860271" w:rsidP="00860271">
            <w:pPr>
              <w:numPr>
                <w:ilvl w:val="0"/>
                <w:numId w:val="26"/>
              </w:numPr>
              <w:suppressAutoHyphens/>
              <w:autoSpaceDN w:val="0"/>
              <w:ind w:left="270" w:right="141" w:hanging="295"/>
              <w:jc w:val="both"/>
              <w:textAlignment w:val="baseline"/>
              <w:rPr>
                <w:rFonts w:cs="Arial"/>
                <w:szCs w:val="24"/>
                <w:lang w:val="en-US" w:eastAsia="en-GB"/>
              </w:rPr>
            </w:pPr>
            <w:r w:rsidRPr="002C617D">
              <w:rPr>
                <w:rFonts w:cs="Arial"/>
                <w:szCs w:val="24"/>
                <w:lang w:eastAsia="en-GB"/>
              </w:rPr>
              <w:t>Regular monitoring of investment performance will be carried out during the year.</w:t>
            </w:r>
          </w:p>
        </w:tc>
        <w:tc>
          <w:tcPr>
            <w:tcW w:w="1588" w:type="dxa"/>
            <w:tcBorders>
              <w:top w:val="single" w:sz="4" w:space="0" w:color="000000"/>
              <w:left w:val="single" w:sz="4" w:space="0" w:color="000000"/>
              <w:bottom w:val="single" w:sz="4" w:space="0" w:color="000000"/>
              <w:right w:val="single" w:sz="4" w:space="0" w:color="000000"/>
            </w:tcBorders>
            <w:shd w:val="clear" w:color="auto" w:fill="92D050"/>
            <w:tcMar>
              <w:top w:w="0" w:type="dxa"/>
              <w:left w:w="10" w:type="dxa"/>
              <w:bottom w:w="0" w:type="dxa"/>
              <w:right w:w="10" w:type="dxa"/>
            </w:tcMar>
            <w:vAlign w:val="center"/>
          </w:tcPr>
          <w:p w14:paraId="6EAFB12C" w14:textId="77777777" w:rsidR="00860271" w:rsidRPr="00860271" w:rsidRDefault="00860271" w:rsidP="00860271">
            <w:pPr>
              <w:pStyle w:val="ListParagraph"/>
              <w:suppressAutoHyphens/>
              <w:autoSpaceDN w:val="0"/>
              <w:ind w:right="141" w:hanging="557"/>
              <w:textAlignment w:val="baseline"/>
              <w:rPr>
                <w:rFonts w:cs="Arial"/>
                <w:b/>
                <w:bCs/>
                <w:szCs w:val="24"/>
                <w:lang w:val="en-US" w:eastAsia="en-GB"/>
              </w:rPr>
            </w:pPr>
          </w:p>
          <w:p w14:paraId="74FD227D" w14:textId="652CE170" w:rsidR="00860271" w:rsidRPr="00364061" w:rsidRDefault="00860271" w:rsidP="00860271">
            <w:pPr>
              <w:pStyle w:val="ListParagraph"/>
              <w:suppressAutoHyphens/>
              <w:autoSpaceDN w:val="0"/>
              <w:ind w:right="141" w:hanging="557"/>
              <w:jc w:val="center"/>
              <w:textAlignment w:val="baseline"/>
              <w:rPr>
                <w:rFonts w:cs="Arial"/>
                <w:szCs w:val="24"/>
                <w:lang w:val="en-US" w:eastAsia="en-GB"/>
              </w:rPr>
            </w:pPr>
            <w:r w:rsidRPr="00860271">
              <w:rPr>
                <w:rFonts w:cs="Arial"/>
                <w:b/>
                <w:bCs/>
                <w:szCs w:val="24"/>
                <w:lang w:val="en-US" w:eastAsia="en-GB"/>
              </w:rPr>
              <w:t>GREEN</w:t>
            </w:r>
          </w:p>
        </w:tc>
      </w:tr>
      <w:tr w:rsidR="00860271" w:rsidRPr="00F3485E" w14:paraId="4BEB501F" w14:textId="77777777" w:rsidTr="00D8132D">
        <w:tblPrEx>
          <w:tblLook w:val="0000" w:firstRow="0" w:lastRow="0" w:firstColumn="0" w:lastColumn="0" w:noHBand="0" w:noVBand="0"/>
        </w:tblPrEx>
        <w:tc>
          <w:tcPr>
            <w:tcW w:w="3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24994" w14:textId="77777777" w:rsidR="00860271" w:rsidRPr="002C617D" w:rsidRDefault="00860271" w:rsidP="00860271">
            <w:pPr>
              <w:suppressAutoHyphens/>
              <w:autoSpaceDN w:val="0"/>
              <w:ind w:right="141"/>
              <w:textAlignment w:val="baseline"/>
              <w:rPr>
                <w:rFonts w:cs="Arial"/>
                <w:szCs w:val="24"/>
                <w:lang w:eastAsia="en-GB"/>
              </w:rPr>
            </w:pPr>
            <w:r w:rsidRPr="002C617D">
              <w:rPr>
                <w:rFonts w:cs="Arial"/>
                <w:szCs w:val="24"/>
                <w:lang w:eastAsia="en-GB"/>
              </w:rPr>
              <w:t>Provision made in the General Fund for debt is not prudent</w:t>
            </w:r>
          </w:p>
        </w:tc>
        <w:tc>
          <w:tcPr>
            <w:tcW w:w="44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6D8C3B" w14:textId="77777777" w:rsidR="00860271" w:rsidRPr="002C617D" w:rsidRDefault="00860271" w:rsidP="00860271">
            <w:pPr>
              <w:numPr>
                <w:ilvl w:val="0"/>
                <w:numId w:val="26"/>
              </w:numPr>
              <w:suppressAutoHyphens/>
              <w:autoSpaceDN w:val="0"/>
              <w:ind w:left="270" w:right="141" w:hanging="295"/>
              <w:jc w:val="both"/>
              <w:textAlignment w:val="baseline"/>
              <w:rPr>
                <w:rFonts w:cs="Arial"/>
                <w:szCs w:val="24"/>
                <w:lang w:val="en-US" w:eastAsia="en-GB"/>
              </w:rPr>
            </w:pPr>
            <w:r w:rsidRPr="002C617D">
              <w:rPr>
                <w:rFonts w:cs="Arial"/>
                <w:szCs w:val="24"/>
                <w:lang w:eastAsia="en-GB"/>
              </w:rPr>
              <w:t xml:space="preserve">MRP Statement setting out what provision is to be made in the General Fund for the repayment of debt, and how the provision is to be calculated. The purpose of the Statement is to ensure the provision is prudent, allowing the debt to be repaid over a period reasonably commensurate with that over which the capital expenditure benefits. </w:t>
            </w:r>
            <w:r w:rsidRPr="00101D55">
              <w:rPr>
                <w:rFonts w:cs="Arial"/>
                <w:szCs w:val="24"/>
                <w:lang w:eastAsia="en-GB"/>
              </w:rPr>
              <w:t>Appendix C.</w:t>
            </w:r>
          </w:p>
        </w:tc>
        <w:tc>
          <w:tcPr>
            <w:tcW w:w="1588" w:type="dxa"/>
            <w:tcBorders>
              <w:top w:val="single" w:sz="4" w:space="0" w:color="000000"/>
              <w:left w:val="single" w:sz="4" w:space="0" w:color="000000"/>
              <w:bottom w:val="single" w:sz="4" w:space="0" w:color="000000"/>
              <w:right w:val="single" w:sz="4" w:space="0" w:color="000000"/>
            </w:tcBorders>
            <w:shd w:val="clear" w:color="auto" w:fill="92D050"/>
            <w:tcMar>
              <w:top w:w="0" w:type="dxa"/>
              <w:left w:w="10" w:type="dxa"/>
              <w:bottom w:w="0" w:type="dxa"/>
              <w:right w:w="10" w:type="dxa"/>
            </w:tcMar>
            <w:vAlign w:val="center"/>
          </w:tcPr>
          <w:p w14:paraId="05D17AA8" w14:textId="77777777" w:rsidR="00860271" w:rsidRPr="00860271" w:rsidRDefault="00860271" w:rsidP="00860271">
            <w:pPr>
              <w:pStyle w:val="ListParagraph"/>
              <w:suppressAutoHyphens/>
              <w:autoSpaceDN w:val="0"/>
              <w:ind w:right="141" w:hanging="557"/>
              <w:textAlignment w:val="baseline"/>
              <w:rPr>
                <w:rFonts w:cs="Arial"/>
                <w:b/>
                <w:bCs/>
                <w:szCs w:val="24"/>
                <w:lang w:val="en-US" w:eastAsia="en-GB"/>
              </w:rPr>
            </w:pPr>
          </w:p>
          <w:p w14:paraId="5DA988A0" w14:textId="505B20E6" w:rsidR="00860271" w:rsidRPr="00364061" w:rsidRDefault="00860271" w:rsidP="00860271">
            <w:pPr>
              <w:pStyle w:val="ListParagraph"/>
              <w:suppressAutoHyphens/>
              <w:autoSpaceDN w:val="0"/>
              <w:ind w:right="141" w:hanging="557"/>
              <w:jc w:val="center"/>
              <w:textAlignment w:val="baseline"/>
              <w:rPr>
                <w:rFonts w:cs="Arial"/>
                <w:szCs w:val="24"/>
                <w:lang w:val="en-US" w:eastAsia="en-GB"/>
              </w:rPr>
            </w:pPr>
            <w:r w:rsidRPr="00860271">
              <w:rPr>
                <w:rFonts w:cs="Arial"/>
                <w:b/>
                <w:bCs/>
                <w:szCs w:val="24"/>
                <w:lang w:val="en-US" w:eastAsia="en-GB"/>
              </w:rPr>
              <w:t>GREEN</w:t>
            </w:r>
          </w:p>
        </w:tc>
      </w:tr>
      <w:tr w:rsidR="00860271" w:rsidRPr="00F3485E" w14:paraId="59E2F29C" w14:textId="77777777" w:rsidTr="00860271">
        <w:tblPrEx>
          <w:tblLook w:val="0000" w:firstRow="0" w:lastRow="0" w:firstColumn="0" w:lastColumn="0" w:noHBand="0" w:noVBand="0"/>
        </w:tblPrEx>
        <w:tc>
          <w:tcPr>
            <w:tcW w:w="3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D819E" w14:textId="77777777" w:rsidR="00860271" w:rsidRPr="002C617D" w:rsidRDefault="00860271" w:rsidP="00860271">
            <w:pPr>
              <w:suppressAutoHyphens/>
              <w:autoSpaceDN w:val="0"/>
              <w:ind w:right="141"/>
              <w:textAlignment w:val="baseline"/>
              <w:rPr>
                <w:rFonts w:cs="Arial"/>
                <w:szCs w:val="24"/>
                <w:lang w:eastAsia="en-GB"/>
              </w:rPr>
            </w:pPr>
            <w:r w:rsidRPr="002C617D">
              <w:rPr>
                <w:rFonts w:cs="Arial"/>
                <w:szCs w:val="24"/>
                <w:lang w:eastAsia="en-GB"/>
              </w:rPr>
              <w:t>Too many loans mature in one period impacting on ability to refinance risk</w:t>
            </w:r>
          </w:p>
        </w:tc>
        <w:tc>
          <w:tcPr>
            <w:tcW w:w="44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27E96" w14:textId="77777777" w:rsidR="00860271" w:rsidRPr="005A2C5F" w:rsidRDefault="00860271" w:rsidP="00860271">
            <w:pPr>
              <w:numPr>
                <w:ilvl w:val="0"/>
                <w:numId w:val="26"/>
              </w:numPr>
              <w:suppressAutoHyphens/>
              <w:autoSpaceDN w:val="0"/>
              <w:ind w:left="270" w:right="141" w:hanging="295"/>
              <w:jc w:val="both"/>
              <w:textAlignment w:val="baseline"/>
              <w:rPr>
                <w:rFonts w:cs="Arial"/>
                <w:szCs w:val="24"/>
                <w:lang w:val="en-US" w:eastAsia="en-GB"/>
              </w:rPr>
            </w:pPr>
            <w:r w:rsidRPr="002C617D">
              <w:rPr>
                <w:rFonts w:cs="Arial"/>
                <w:szCs w:val="24"/>
                <w:lang w:eastAsia="en-GB"/>
              </w:rPr>
              <w:t>The Council maintains upper and lower limits with respect to the maturity structure of its borrowing.  This Prudential Indicator, reflecting the earliest date at which a lender can require payment is set to ensure refinancing risk is managed regarding the concentration of loan maturities in any one period.</w:t>
            </w:r>
          </w:p>
          <w:p w14:paraId="0D124166" w14:textId="02708051" w:rsidR="00860271" w:rsidRPr="00443C07" w:rsidRDefault="00860271" w:rsidP="00860271">
            <w:pPr>
              <w:numPr>
                <w:ilvl w:val="0"/>
                <w:numId w:val="26"/>
              </w:numPr>
              <w:suppressAutoHyphens/>
              <w:autoSpaceDN w:val="0"/>
              <w:ind w:left="270" w:right="141" w:hanging="295"/>
              <w:jc w:val="both"/>
              <w:textAlignment w:val="baseline"/>
              <w:rPr>
                <w:rFonts w:cs="Arial"/>
                <w:szCs w:val="24"/>
                <w:lang w:val="en-US" w:eastAsia="en-GB"/>
              </w:rPr>
            </w:pPr>
            <w:r w:rsidRPr="00101D55">
              <w:rPr>
                <w:rFonts w:cs="Arial"/>
                <w:szCs w:val="24"/>
                <w:lang w:val="en-US" w:eastAsia="en-GB"/>
              </w:rPr>
              <w:t xml:space="preserve">The introduction of the Liability Benchmark is intended to inform future borrowing decisions in respect of the quantum and duration required to meet known long term liabilities based on the approved capital </w:t>
            </w:r>
            <w:proofErr w:type="spellStart"/>
            <w:r w:rsidRPr="00101D55">
              <w:rPr>
                <w:rFonts w:cs="Arial"/>
                <w:szCs w:val="24"/>
                <w:lang w:val="en-US" w:eastAsia="en-GB"/>
              </w:rPr>
              <w:t>programme</w:t>
            </w:r>
            <w:proofErr w:type="spellEnd"/>
            <w:r w:rsidRPr="00101D55">
              <w:rPr>
                <w:rFonts w:cs="Arial"/>
                <w:szCs w:val="24"/>
                <w:lang w:val="en-US" w:eastAsia="en-GB"/>
              </w:rPr>
              <w:t xml:space="preserve"> and a net book approach to treasury management</w:t>
            </w:r>
          </w:p>
        </w:tc>
        <w:tc>
          <w:tcPr>
            <w:tcW w:w="1588" w:type="dxa"/>
            <w:tcBorders>
              <w:top w:val="single" w:sz="4" w:space="0" w:color="000000"/>
              <w:left w:val="single" w:sz="4" w:space="0" w:color="000000"/>
              <w:bottom w:val="single" w:sz="4" w:space="0" w:color="000000"/>
              <w:right w:val="single" w:sz="4" w:space="0" w:color="000000"/>
            </w:tcBorders>
            <w:shd w:val="clear" w:color="auto" w:fill="92D050"/>
            <w:tcMar>
              <w:top w:w="0" w:type="dxa"/>
              <w:left w:w="10" w:type="dxa"/>
              <w:bottom w:w="0" w:type="dxa"/>
              <w:right w:w="10" w:type="dxa"/>
            </w:tcMar>
            <w:vAlign w:val="center"/>
          </w:tcPr>
          <w:p w14:paraId="1063A5F9" w14:textId="62B37319" w:rsidR="00860271" w:rsidRPr="00860271" w:rsidRDefault="00860271" w:rsidP="00860271">
            <w:pPr>
              <w:pStyle w:val="ListParagraph"/>
              <w:suppressAutoHyphens/>
              <w:autoSpaceDN w:val="0"/>
              <w:ind w:right="141" w:hanging="557"/>
              <w:jc w:val="center"/>
              <w:textAlignment w:val="baseline"/>
              <w:rPr>
                <w:rFonts w:cs="Arial"/>
                <w:b/>
                <w:bCs/>
                <w:szCs w:val="24"/>
                <w:lang w:val="en-US" w:eastAsia="en-GB"/>
              </w:rPr>
            </w:pPr>
            <w:r w:rsidRPr="00860271">
              <w:rPr>
                <w:rFonts w:cs="Arial"/>
                <w:b/>
                <w:bCs/>
                <w:szCs w:val="24"/>
                <w:lang w:val="en-US" w:eastAsia="en-GB"/>
              </w:rPr>
              <w:t>GREEN</w:t>
            </w:r>
          </w:p>
        </w:tc>
      </w:tr>
      <w:tr w:rsidR="00860271" w:rsidRPr="00F3485E" w14:paraId="03161A20" w14:textId="77777777" w:rsidTr="00860271">
        <w:tblPrEx>
          <w:tblLook w:val="0000" w:firstRow="0" w:lastRow="0" w:firstColumn="0" w:lastColumn="0" w:noHBand="0" w:noVBand="0"/>
        </w:tblPrEx>
        <w:tc>
          <w:tcPr>
            <w:tcW w:w="3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22A81" w14:textId="77777777" w:rsidR="00860271" w:rsidRPr="002C617D" w:rsidRDefault="00860271" w:rsidP="00860271">
            <w:pPr>
              <w:suppressAutoHyphens/>
              <w:autoSpaceDN w:val="0"/>
              <w:ind w:right="141"/>
              <w:textAlignment w:val="baseline"/>
              <w:rPr>
                <w:rFonts w:cs="Arial"/>
                <w:szCs w:val="24"/>
                <w:lang w:eastAsia="en-GB"/>
              </w:rPr>
            </w:pPr>
            <w:r w:rsidRPr="002C617D">
              <w:rPr>
                <w:rFonts w:cs="Arial"/>
                <w:szCs w:val="24"/>
                <w:lang w:eastAsia="en-GB"/>
              </w:rPr>
              <w:t>Borrowing is undertaken for revenue or speculative purposes</w:t>
            </w:r>
          </w:p>
        </w:tc>
        <w:tc>
          <w:tcPr>
            <w:tcW w:w="44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1A99C8" w14:textId="547E03AE" w:rsidR="00860271" w:rsidRPr="00364061" w:rsidRDefault="00860271" w:rsidP="00860271">
            <w:pPr>
              <w:numPr>
                <w:ilvl w:val="0"/>
                <w:numId w:val="26"/>
              </w:numPr>
              <w:suppressAutoHyphens/>
              <w:autoSpaceDN w:val="0"/>
              <w:ind w:left="105" w:right="141" w:hanging="130"/>
              <w:jc w:val="both"/>
              <w:textAlignment w:val="baseline"/>
              <w:rPr>
                <w:rFonts w:cs="Arial"/>
                <w:szCs w:val="24"/>
                <w:lang w:val="en-US" w:eastAsia="en-GB"/>
              </w:rPr>
            </w:pPr>
            <w:r w:rsidRPr="00364061">
              <w:rPr>
                <w:rFonts w:cs="Arial"/>
                <w:szCs w:val="24"/>
                <w:lang w:eastAsia="en-GB"/>
              </w:rPr>
              <w:t xml:space="preserve">Within the range of prudential indicators there are </w:t>
            </w:r>
            <w:proofErr w:type="gramStart"/>
            <w:r w:rsidRPr="00364061">
              <w:rPr>
                <w:rFonts w:cs="Arial"/>
                <w:szCs w:val="24"/>
                <w:lang w:eastAsia="en-GB"/>
              </w:rPr>
              <w:t>a number of</w:t>
            </w:r>
            <w:proofErr w:type="gramEnd"/>
            <w:r w:rsidRPr="00364061">
              <w:rPr>
                <w:rFonts w:cs="Arial"/>
                <w:szCs w:val="24"/>
                <w:lang w:eastAsia="en-GB"/>
              </w:rPr>
              <w:t xml:space="preserve"> key indicators to ensure that the Council operates its activities within well-</w:t>
            </w:r>
            <w:r w:rsidRPr="00364061">
              <w:rPr>
                <w:rFonts w:cs="Arial"/>
                <w:szCs w:val="24"/>
                <w:lang w:eastAsia="en-GB"/>
              </w:rPr>
              <w:lastRenderedPageBreak/>
              <w:t>defined limits.  One of these is that the Council needs to ensure that its gross debt does not, except in the short term, exceed the total of the CFR in the preceding year plus the estimates of any additional CFR for 202</w:t>
            </w:r>
            <w:r>
              <w:rPr>
                <w:rFonts w:cs="Arial"/>
                <w:szCs w:val="24"/>
                <w:lang w:eastAsia="en-GB"/>
              </w:rPr>
              <w:t>3</w:t>
            </w:r>
            <w:r w:rsidRPr="00364061">
              <w:rPr>
                <w:rFonts w:cs="Arial"/>
                <w:szCs w:val="24"/>
                <w:lang w:eastAsia="en-GB"/>
              </w:rPr>
              <w:t>/2</w:t>
            </w:r>
            <w:r>
              <w:rPr>
                <w:rFonts w:cs="Arial"/>
                <w:szCs w:val="24"/>
                <w:lang w:eastAsia="en-GB"/>
              </w:rPr>
              <w:t>4</w:t>
            </w:r>
            <w:r w:rsidRPr="00364061">
              <w:rPr>
                <w:rFonts w:cs="Arial"/>
                <w:szCs w:val="24"/>
                <w:lang w:eastAsia="en-GB"/>
              </w:rPr>
              <w:t xml:space="preserve"> and the following two financial </w:t>
            </w:r>
            <w:proofErr w:type="gramStart"/>
            <w:r w:rsidRPr="00364061">
              <w:rPr>
                <w:rFonts w:cs="Arial"/>
                <w:szCs w:val="24"/>
                <w:lang w:eastAsia="en-GB"/>
              </w:rPr>
              <w:t>years</w:t>
            </w:r>
            <w:proofErr w:type="gramEnd"/>
          </w:p>
          <w:p w14:paraId="06A57CEB" w14:textId="4CA0DBBC" w:rsidR="00860271" w:rsidRPr="002C617D" w:rsidRDefault="00860271" w:rsidP="00860271">
            <w:pPr>
              <w:suppressAutoHyphens/>
              <w:autoSpaceDN w:val="0"/>
              <w:ind w:left="105" w:right="141"/>
              <w:jc w:val="both"/>
              <w:textAlignment w:val="baseline"/>
              <w:rPr>
                <w:rFonts w:cs="Arial"/>
                <w:szCs w:val="24"/>
                <w:lang w:val="en-US" w:eastAsia="en-GB"/>
              </w:rPr>
            </w:pPr>
          </w:p>
        </w:tc>
        <w:tc>
          <w:tcPr>
            <w:tcW w:w="1588" w:type="dxa"/>
            <w:tcBorders>
              <w:top w:val="single" w:sz="4" w:space="0" w:color="000000"/>
              <w:left w:val="single" w:sz="4" w:space="0" w:color="000000"/>
              <w:bottom w:val="single" w:sz="4" w:space="0" w:color="000000"/>
              <w:right w:val="single" w:sz="4" w:space="0" w:color="000000"/>
            </w:tcBorders>
            <w:shd w:val="clear" w:color="auto" w:fill="92D050"/>
            <w:tcMar>
              <w:top w:w="0" w:type="dxa"/>
              <w:left w:w="10" w:type="dxa"/>
              <w:bottom w:w="0" w:type="dxa"/>
              <w:right w:w="10" w:type="dxa"/>
            </w:tcMar>
            <w:vAlign w:val="center"/>
          </w:tcPr>
          <w:p w14:paraId="15B60623" w14:textId="036FA01D" w:rsidR="00860271" w:rsidRPr="00860271" w:rsidRDefault="00860271" w:rsidP="00860271">
            <w:pPr>
              <w:pStyle w:val="ListParagraph"/>
              <w:suppressAutoHyphens/>
              <w:autoSpaceDN w:val="0"/>
              <w:ind w:right="141" w:hanging="557"/>
              <w:jc w:val="center"/>
              <w:textAlignment w:val="baseline"/>
              <w:rPr>
                <w:rFonts w:cs="Arial"/>
                <w:b/>
                <w:bCs/>
                <w:szCs w:val="24"/>
                <w:lang w:val="en-US" w:eastAsia="en-GB"/>
              </w:rPr>
            </w:pPr>
            <w:r w:rsidRPr="00860271">
              <w:rPr>
                <w:rFonts w:cs="Arial"/>
                <w:b/>
                <w:bCs/>
                <w:szCs w:val="24"/>
                <w:lang w:val="en-US" w:eastAsia="en-GB"/>
              </w:rPr>
              <w:lastRenderedPageBreak/>
              <w:t>GREEN</w:t>
            </w:r>
          </w:p>
        </w:tc>
      </w:tr>
      <w:tr w:rsidR="00860271" w:rsidRPr="00F3485E" w14:paraId="48370DBC" w14:textId="77777777" w:rsidTr="002C16A3">
        <w:tblPrEx>
          <w:tblLook w:val="0000" w:firstRow="0" w:lastRow="0" w:firstColumn="0" w:lastColumn="0" w:noHBand="0" w:noVBand="0"/>
        </w:tblPrEx>
        <w:trPr>
          <w:trHeight w:val="1873"/>
        </w:trPr>
        <w:tc>
          <w:tcPr>
            <w:tcW w:w="3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F4F3F4" w14:textId="77777777" w:rsidR="00860271" w:rsidRPr="002C617D" w:rsidRDefault="00860271" w:rsidP="00860271">
            <w:pPr>
              <w:suppressAutoHyphens/>
              <w:autoSpaceDN w:val="0"/>
              <w:ind w:right="141"/>
              <w:textAlignment w:val="baseline"/>
              <w:rPr>
                <w:rFonts w:cs="Arial"/>
                <w:szCs w:val="24"/>
                <w:lang w:eastAsia="en-GB"/>
              </w:rPr>
            </w:pPr>
            <w:r w:rsidRPr="002C617D">
              <w:rPr>
                <w:rFonts w:cs="Arial"/>
                <w:szCs w:val="24"/>
                <w:lang w:eastAsia="en-GB"/>
              </w:rPr>
              <w:t>Exceptional levels of volatility in PWLB rates</w:t>
            </w:r>
          </w:p>
        </w:tc>
        <w:tc>
          <w:tcPr>
            <w:tcW w:w="44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3F7F35" w14:textId="6C3C7BF8" w:rsidR="00860271" w:rsidRPr="002C617D" w:rsidRDefault="00860271" w:rsidP="00860271">
            <w:pPr>
              <w:numPr>
                <w:ilvl w:val="0"/>
                <w:numId w:val="26"/>
              </w:numPr>
              <w:suppressAutoHyphens/>
              <w:autoSpaceDN w:val="0"/>
              <w:ind w:left="117" w:right="141" w:hanging="117"/>
              <w:jc w:val="both"/>
              <w:textAlignment w:val="baseline"/>
              <w:rPr>
                <w:rFonts w:cs="Arial"/>
                <w:szCs w:val="24"/>
                <w:lang w:eastAsia="en-GB"/>
              </w:rPr>
            </w:pPr>
            <w:r w:rsidRPr="002C617D">
              <w:rPr>
                <w:rFonts w:cs="Arial"/>
                <w:szCs w:val="24"/>
                <w:lang w:eastAsia="en-GB"/>
              </w:rPr>
              <w:t xml:space="preserve">The Council’s Treasury Management Adviser, </w:t>
            </w:r>
            <w:r>
              <w:rPr>
                <w:rFonts w:cs="Arial"/>
                <w:szCs w:val="24"/>
                <w:lang w:eastAsia="en-GB"/>
              </w:rPr>
              <w:t>Link Group</w:t>
            </w:r>
            <w:r w:rsidRPr="002C617D">
              <w:rPr>
                <w:rFonts w:cs="Arial"/>
                <w:szCs w:val="24"/>
                <w:lang w:eastAsia="en-GB"/>
              </w:rPr>
              <w:t>, has provided an interest rate forecast (Table 1</w:t>
            </w:r>
            <w:r>
              <w:rPr>
                <w:rFonts w:cs="Arial"/>
                <w:szCs w:val="24"/>
                <w:lang w:eastAsia="en-GB"/>
              </w:rPr>
              <w:t>2</w:t>
            </w:r>
            <w:r w:rsidRPr="002C617D">
              <w:rPr>
                <w:rFonts w:cs="Arial"/>
                <w:szCs w:val="24"/>
                <w:lang w:eastAsia="en-GB"/>
              </w:rPr>
              <w:t>).</w:t>
            </w:r>
          </w:p>
          <w:p w14:paraId="77FFDB21" w14:textId="4DC8D31F" w:rsidR="00860271" w:rsidRPr="002C617D" w:rsidRDefault="00860271" w:rsidP="00860271">
            <w:pPr>
              <w:numPr>
                <w:ilvl w:val="0"/>
                <w:numId w:val="26"/>
              </w:numPr>
              <w:suppressAutoHyphens/>
              <w:autoSpaceDN w:val="0"/>
              <w:ind w:left="117" w:right="141" w:hanging="117"/>
              <w:jc w:val="both"/>
              <w:textAlignment w:val="baseline"/>
              <w:rPr>
                <w:rFonts w:cs="Arial"/>
                <w:szCs w:val="24"/>
                <w:lang w:eastAsia="en-GB"/>
              </w:rPr>
            </w:pPr>
            <w:r w:rsidRPr="00B375BC">
              <w:rPr>
                <w:rFonts w:cs="Arial"/>
                <w:szCs w:val="24"/>
                <w:lang w:eastAsia="en-GB"/>
              </w:rPr>
              <w:t xml:space="preserve">The current expectation is for Bank Rate to have peaked at 5.25% and for this to fall in the second half of 2024 as inflation comes back to the 2% target.  PWLB rates are also expected to have peaked and be on a gradual downward trajectory. </w:t>
            </w:r>
          </w:p>
        </w:tc>
        <w:tc>
          <w:tcPr>
            <w:tcW w:w="1588" w:type="dxa"/>
            <w:tcBorders>
              <w:top w:val="single" w:sz="4" w:space="0" w:color="000000"/>
              <w:left w:val="single" w:sz="4" w:space="0" w:color="000000"/>
              <w:bottom w:val="single" w:sz="4" w:space="0" w:color="000000"/>
              <w:right w:val="single" w:sz="4" w:space="0" w:color="000000"/>
            </w:tcBorders>
            <w:shd w:val="clear" w:color="auto" w:fill="FFC000"/>
            <w:tcMar>
              <w:top w:w="0" w:type="dxa"/>
              <w:left w:w="10" w:type="dxa"/>
              <w:bottom w:w="0" w:type="dxa"/>
              <w:right w:w="10" w:type="dxa"/>
            </w:tcMar>
            <w:vAlign w:val="center"/>
          </w:tcPr>
          <w:p w14:paraId="07D36ABC" w14:textId="77777777" w:rsidR="002C16A3" w:rsidRDefault="002C16A3" w:rsidP="002C16A3">
            <w:pPr>
              <w:pStyle w:val="ListParagraph"/>
              <w:suppressAutoHyphens/>
              <w:autoSpaceDN w:val="0"/>
              <w:ind w:right="141" w:hanging="527"/>
              <w:jc w:val="center"/>
              <w:textAlignment w:val="baseline"/>
              <w:rPr>
                <w:rFonts w:cs="Arial"/>
                <w:b/>
                <w:bCs/>
                <w:szCs w:val="24"/>
                <w:lang w:val="en-US" w:eastAsia="en-GB"/>
              </w:rPr>
            </w:pPr>
          </w:p>
          <w:p w14:paraId="7490846F" w14:textId="77777777" w:rsidR="002C16A3" w:rsidRDefault="002C16A3" w:rsidP="002C16A3">
            <w:pPr>
              <w:pStyle w:val="ListParagraph"/>
              <w:suppressAutoHyphens/>
              <w:autoSpaceDN w:val="0"/>
              <w:ind w:right="141" w:hanging="527"/>
              <w:jc w:val="center"/>
              <w:textAlignment w:val="baseline"/>
              <w:rPr>
                <w:rFonts w:cs="Arial"/>
                <w:b/>
                <w:bCs/>
                <w:szCs w:val="24"/>
                <w:lang w:val="en-US" w:eastAsia="en-GB"/>
              </w:rPr>
            </w:pPr>
          </w:p>
          <w:p w14:paraId="0C052001" w14:textId="77777777" w:rsidR="002C16A3" w:rsidRDefault="002C16A3" w:rsidP="002C16A3">
            <w:pPr>
              <w:pStyle w:val="ListParagraph"/>
              <w:suppressAutoHyphens/>
              <w:autoSpaceDN w:val="0"/>
              <w:ind w:right="141" w:hanging="527"/>
              <w:jc w:val="center"/>
              <w:textAlignment w:val="baseline"/>
              <w:rPr>
                <w:rFonts w:cs="Arial"/>
                <w:b/>
                <w:bCs/>
                <w:szCs w:val="24"/>
                <w:lang w:val="en-US" w:eastAsia="en-GB"/>
              </w:rPr>
            </w:pPr>
          </w:p>
          <w:p w14:paraId="2D86731B" w14:textId="67358A3C" w:rsidR="00860271" w:rsidRPr="002C16A3" w:rsidRDefault="002C16A3" w:rsidP="002C16A3">
            <w:pPr>
              <w:pStyle w:val="ListParagraph"/>
              <w:suppressAutoHyphens/>
              <w:autoSpaceDN w:val="0"/>
              <w:ind w:right="141" w:hanging="527"/>
              <w:jc w:val="center"/>
              <w:textAlignment w:val="baseline"/>
              <w:rPr>
                <w:rFonts w:cs="Arial"/>
                <w:b/>
                <w:bCs/>
                <w:szCs w:val="24"/>
                <w:lang w:val="en-US" w:eastAsia="en-GB"/>
              </w:rPr>
            </w:pPr>
            <w:r w:rsidRPr="002C16A3">
              <w:rPr>
                <w:rFonts w:cs="Arial"/>
                <w:b/>
                <w:bCs/>
                <w:szCs w:val="24"/>
                <w:lang w:val="en-US" w:eastAsia="en-GB"/>
              </w:rPr>
              <w:t>AMBER</w:t>
            </w:r>
          </w:p>
          <w:p w14:paraId="19FA9EDD" w14:textId="77777777" w:rsidR="00860271" w:rsidRDefault="00860271" w:rsidP="002C16A3">
            <w:pPr>
              <w:suppressAutoHyphens/>
              <w:autoSpaceDN w:val="0"/>
              <w:ind w:right="141"/>
              <w:jc w:val="center"/>
              <w:textAlignment w:val="baseline"/>
              <w:rPr>
                <w:rFonts w:cs="Arial"/>
                <w:szCs w:val="24"/>
                <w:lang w:val="en-US" w:eastAsia="en-GB"/>
              </w:rPr>
            </w:pPr>
          </w:p>
          <w:p w14:paraId="3EAD45C6" w14:textId="77777777" w:rsidR="00860271" w:rsidRDefault="00860271" w:rsidP="002C16A3">
            <w:pPr>
              <w:suppressAutoHyphens/>
              <w:autoSpaceDN w:val="0"/>
              <w:ind w:right="141"/>
              <w:jc w:val="center"/>
              <w:textAlignment w:val="baseline"/>
              <w:rPr>
                <w:rFonts w:cs="Arial"/>
                <w:szCs w:val="24"/>
                <w:lang w:val="en-US" w:eastAsia="en-GB"/>
              </w:rPr>
            </w:pPr>
          </w:p>
          <w:p w14:paraId="25444C7D" w14:textId="77777777" w:rsidR="00860271" w:rsidRPr="00F3485E" w:rsidRDefault="00860271" w:rsidP="002C16A3">
            <w:pPr>
              <w:suppressAutoHyphens/>
              <w:autoSpaceDN w:val="0"/>
              <w:ind w:right="141"/>
              <w:textAlignment w:val="baseline"/>
              <w:rPr>
                <w:rFonts w:cs="Arial"/>
                <w:szCs w:val="24"/>
                <w:lang w:val="en-US" w:eastAsia="en-GB"/>
              </w:rPr>
            </w:pPr>
          </w:p>
        </w:tc>
      </w:tr>
      <w:tr w:rsidR="00860271" w14:paraId="703A23E5" w14:textId="77777777" w:rsidTr="00B156F1">
        <w:tblPrEx>
          <w:tblLook w:val="0000" w:firstRow="0" w:lastRow="0" w:firstColumn="0" w:lastColumn="0" w:noHBand="0" w:noVBand="0"/>
        </w:tblPrEx>
        <w:tc>
          <w:tcPr>
            <w:tcW w:w="3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6B33A" w14:textId="77777777" w:rsidR="00860271" w:rsidRPr="002C617D" w:rsidRDefault="00860271" w:rsidP="00860271">
            <w:pPr>
              <w:suppressAutoHyphens/>
              <w:autoSpaceDN w:val="0"/>
              <w:ind w:right="141"/>
              <w:textAlignment w:val="baseline"/>
              <w:rPr>
                <w:rFonts w:cs="Arial"/>
                <w:szCs w:val="24"/>
                <w:lang w:eastAsia="en-GB"/>
              </w:rPr>
            </w:pPr>
            <w:r w:rsidRPr="002C617D">
              <w:rPr>
                <w:rFonts w:cs="Arial"/>
                <w:szCs w:val="24"/>
                <w:lang w:eastAsia="en-GB"/>
              </w:rPr>
              <w:t>Default on Council Loans</w:t>
            </w:r>
          </w:p>
        </w:tc>
        <w:tc>
          <w:tcPr>
            <w:tcW w:w="44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102C1D" w14:textId="6BDE0B78" w:rsidR="00860271" w:rsidRPr="00B375BC" w:rsidRDefault="00860271" w:rsidP="00860271">
            <w:pPr>
              <w:numPr>
                <w:ilvl w:val="0"/>
                <w:numId w:val="26"/>
              </w:numPr>
              <w:suppressAutoHyphens/>
              <w:autoSpaceDN w:val="0"/>
              <w:ind w:left="105" w:right="141" w:hanging="142"/>
              <w:jc w:val="both"/>
              <w:textAlignment w:val="baseline"/>
              <w:rPr>
                <w:rFonts w:cs="Arial"/>
                <w:szCs w:val="24"/>
                <w:lang w:eastAsia="en-GB"/>
              </w:rPr>
            </w:pPr>
            <w:r w:rsidRPr="00B375BC">
              <w:rPr>
                <w:rFonts w:cs="Arial"/>
                <w:szCs w:val="24"/>
                <w:lang w:eastAsia="en-GB"/>
              </w:rPr>
              <w:t xml:space="preserve">The risk of default attached to the Council’s portfolio is reported by Link Group on a monthly basis and this is currently very low, which is reflective of the </w:t>
            </w:r>
            <w:proofErr w:type="gramStart"/>
            <w:r w:rsidRPr="00B375BC">
              <w:rPr>
                <w:rFonts w:cs="Arial"/>
                <w:szCs w:val="24"/>
                <w:lang w:eastAsia="en-GB"/>
              </w:rPr>
              <w:t>low risk</w:t>
            </w:r>
            <w:proofErr w:type="gramEnd"/>
            <w:r w:rsidRPr="00B375BC">
              <w:rPr>
                <w:rFonts w:cs="Arial"/>
                <w:szCs w:val="24"/>
                <w:lang w:eastAsia="en-GB"/>
              </w:rPr>
              <w:t xml:space="preserve"> investment strategy, and the high credit quality of the investment counterparties used by the Authority, which includes the UK Government.</w:t>
            </w:r>
          </w:p>
          <w:p w14:paraId="5A2EB1BD" w14:textId="77777777" w:rsidR="00860271" w:rsidRPr="002C617D" w:rsidRDefault="00860271" w:rsidP="00860271">
            <w:pPr>
              <w:suppressAutoHyphens/>
              <w:autoSpaceDN w:val="0"/>
              <w:ind w:right="141"/>
              <w:jc w:val="both"/>
              <w:textAlignment w:val="baseline"/>
              <w:rPr>
                <w:rFonts w:cs="Arial"/>
                <w:szCs w:val="24"/>
                <w:lang w:eastAsia="en-GB"/>
              </w:rPr>
            </w:pPr>
          </w:p>
        </w:tc>
        <w:tc>
          <w:tcPr>
            <w:tcW w:w="1588" w:type="dxa"/>
            <w:tcBorders>
              <w:top w:val="single" w:sz="4" w:space="0" w:color="000000"/>
              <w:left w:val="single" w:sz="4" w:space="0" w:color="000000"/>
              <w:bottom w:val="single" w:sz="4" w:space="0" w:color="000000"/>
              <w:right w:val="single" w:sz="4" w:space="0" w:color="000000"/>
            </w:tcBorders>
            <w:shd w:val="clear" w:color="auto" w:fill="92D050"/>
            <w:tcMar>
              <w:top w:w="0" w:type="dxa"/>
              <w:left w:w="10" w:type="dxa"/>
              <w:bottom w:w="0" w:type="dxa"/>
              <w:right w:w="10" w:type="dxa"/>
            </w:tcMar>
            <w:vAlign w:val="center"/>
          </w:tcPr>
          <w:p w14:paraId="4C65960C" w14:textId="10A42966" w:rsidR="00860271" w:rsidRPr="00B156F1" w:rsidRDefault="00B156F1" w:rsidP="00B81C6C">
            <w:pPr>
              <w:pStyle w:val="ListParagraph"/>
              <w:suppressAutoHyphens/>
              <w:autoSpaceDN w:val="0"/>
              <w:ind w:right="141" w:hanging="415"/>
              <w:jc w:val="center"/>
              <w:textAlignment w:val="baseline"/>
              <w:rPr>
                <w:rFonts w:cs="Arial"/>
                <w:b/>
                <w:bCs/>
                <w:szCs w:val="24"/>
                <w:lang w:val="en-US" w:eastAsia="en-GB"/>
              </w:rPr>
            </w:pPr>
            <w:r w:rsidRPr="00B156F1">
              <w:rPr>
                <w:rFonts w:cs="Arial"/>
                <w:b/>
                <w:bCs/>
                <w:szCs w:val="24"/>
                <w:lang w:val="en-US" w:eastAsia="en-GB"/>
              </w:rPr>
              <w:t>GREEN</w:t>
            </w:r>
          </w:p>
        </w:tc>
      </w:tr>
    </w:tbl>
    <w:bookmarkEnd w:id="20"/>
    <w:bookmarkEnd w:id="21"/>
    <w:bookmarkEnd w:id="22"/>
    <w:p w14:paraId="0249BBDB" w14:textId="0EACA35C" w:rsidR="002A3FEF" w:rsidRPr="00364061" w:rsidRDefault="003D6E2F" w:rsidP="005C0A9B">
      <w:pPr>
        <w:pStyle w:val="Heading3"/>
        <w:spacing w:before="480" w:after="240"/>
        <w:ind w:left="0" w:firstLine="0"/>
        <w:rPr>
          <w:sz w:val="32"/>
          <w:szCs w:val="32"/>
        </w:rPr>
      </w:pPr>
      <w:r w:rsidRPr="00364061">
        <w:rPr>
          <w:sz w:val="32"/>
          <w:szCs w:val="32"/>
        </w:rPr>
        <w:t>P</w:t>
      </w:r>
      <w:r w:rsidR="002A3FEF" w:rsidRPr="00364061">
        <w:rPr>
          <w:sz w:val="32"/>
          <w:szCs w:val="32"/>
        </w:rPr>
        <w:t>rocurement Implications</w:t>
      </w:r>
    </w:p>
    <w:p w14:paraId="6CA39FD6" w14:textId="77777777" w:rsidR="008A4061" w:rsidRPr="00820F85" w:rsidRDefault="008A4061" w:rsidP="0064287C">
      <w:pPr>
        <w:pStyle w:val="ListParagraph"/>
        <w:numPr>
          <w:ilvl w:val="0"/>
          <w:numId w:val="20"/>
        </w:numPr>
        <w:ind w:left="0" w:hanging="720"/>
        <w:jc w:val="both"/>
        <w:rPr>
          <w:rFonts w:cs="Arial"/>
          <w:bCs/>
          <w:szCs w:val="24"/>
        </w:rPr>
      </w:pPr>
      <w:r w:rsidRPr="00820F85">
        <w:rPr>
          <w:rFonts w:cs="Arial"/>
          <w:bCs/>
          <w:szCs w:val="24"/>
        </w:rPr>
        <w:t xml:space="preserve">There are no procurement implications arising from this report. </w:t>
      </w:r>
    </w:p>
    <w:p w14:paraId="44413A6E" w14:textId="77777777" w:rsidR="00333FAA" w:rsidRPr="00364061" w:rsidRDefault="00333FAA" w:rsidP="00364061">
      <w:pPr>
        <w:pStyle w:val="Heading3"/>
        <w:spacing w:before="480" w:after="240"/>
        <w:rPr>
          <w:sz w:val="32"/>
          <w:szCs w:val="32"/>
        </w:rPr>
      </w:pPr>
      <w:r w:rsidRPr="00364061">
        <w:rPr>
          <w:sz w:val="32"/>
          <w:szCs w:val="32"/>
        </w:rPr>
        <w:t>Legal Implications</w:t>
      </w:r>
    </w:p>
    <w:p w14:paraId="70DBA3A6" w14:textId="7A799770" w:rsidR="008A4061" w:rsidRPr="00820F85" w:rsidRDefault="008A4061" w:rsidP="0064287C">
      <w:pPr>
        <w:pStyle w:val="ListParagraph"/>
        <w:numPr>
          <w:ilvl w:val="0"/>
          <w:numId w:val="21"/>
        </w:numPr>
        <w:ind w:left="0" w:hanging="720"/>
        <w:jc w:val="both"/>
        <w:rPr>
          <w:rFonts w:cs="Arial"/>
          <w:bCs/>
          <w:szCs w:val="24"/>
        </w:rPr>
      </w:pPr>
      <w:r w:rsidRPr="00820F85">
        <w:rPr>
          <w:rFonts w:cs="Arial"/>
          <w:bCs/>
          <w:szCs w:val="24"/>
        </w:rPr>
        <w:t>The Local Government Act 2003 requires the Council to ‘have regard to’ the Prudential Code</w:t>
      </w:r>
      <w:r w:rsidR="005A2C5F" w:rsidRPr="00820F85">
        <w:rPr>
          <w:rFonts w:cs="Arial"/>
          <w:bCs/>
          <w:szCs w:val="24"/>
        </w:rPr>
        <w:t xml:space="preserve"> and Treasury Management Code of Practice</w:t>
      </w:r>
      <w:r w:rsidRPr="00820F85">
        <w:rPr>
          <w:rFonts w:cs="Arial"/>
          <w:bCs/>
          <w:szCs w:val="24"/>
        </w:rPr>
        <w:t xml:space="preserve"> and to set Prudential </w:t>
      </w:r>
      <w:r w:rsidR="005A2C5F" w:rsidRPr="00820F85">
        <w:rPr>
          <w:rFonts w:cs="Arial"/>
          <w:bCs/>
          <w:szCs w:val="24"/>
        </w:rPr>
        <w:t xml:space="preserve">and Treasury </w:t>
      </w:r>
      <w:r w:rsidRPr="00820F85">
        <w:rPr>
          <w:rFonts w:cs="Arial"/>
          <w:bCs/>
          <w:szCs w:val="24"/>
        </w:rPr>
        <w:t xml:space="preserve">Indicators for the next three years to ensure that the Council’s capital investment plans are affordable, </w:t>
      </w:r>
      <w:proofErr w:type="gramStart"/>
      <w:r w:rsidRPr="00820F85">
        <w:rPr>
          <w:rFonts w:cs="Arial"/>
          <w:bCs/>
          <w:szCs w:val="24"/>
        </w:rPr>
        <w:t>prudent</w:t>
      </w:r>
      <w:proofErr w:type="gramEnd"/>
      <w:r w:rsidRPr="00820F85">
        <w:rPr>
          <w:rFonts w:cs="Arial"/>
          <w:bCs/>
          <w:szCs w:val="24"/>
        </w:rPr>
        <w:t xml:space="preserve"> and sustainable. These are contained within this report.  </w:t>
      </w:r>
    </w:p>
    <w:p w14:paraId="73469D83" w14:textId="77777777" w:rsidR="008A4061" w:rsidRPr="00820F85" w:rsidRDefault="008A4061" w:rsidP="00820F85">
      <w:pPr>
        <w:pStyle w:val="ListParagraph"/>
        <w:ind w:left="0"/>
        <w:jc w:val="both"/>
        <w:rPr>
          <w:rFonts w:cs="Arial"/>
          <w:bCs/>
          <w:szCs w:val="24"/>
        </w:rPr>
      </w:pPr>
    </w:p>
    <w:p w14:paraId="54A51334" w14:textId="75712245" w:rsidR="00A1211C" w:rsidRPr="00820F85" w:rsidRDefault="008A4061" w:rsidP="0064287C">
      <w:pPr>
        <w:pStyle w:val="ListParagraph"/>
        <w:numPr>
          <w:ilvl w:val="0"/>
          <w:numId w:val="21"/>
        </w:numPr>
        <w:ind w:left="0" w:hanging="720"/>
        <w:jc w:val="both"/>
        <w:rPr>
          <w:rFonts w:cs="Arial"/>
          <w:bCs/>
          <w:szCs w:val="24"/>
        </w:rPr>
      </w:pPr>
      <w:r w:rsidRPr="00820F85">
        <w:rPr>
          <w:rFonts w:cs="Arial"/>
          <w:bCs/>
          <w:szCs w:val="24"/>
        </w:rPr>
        <w:t>The Act, accompanying statutory guidance and Codes of Practice referred to through capital financing regulations requires the Council to set out its treasury strategy for borrowing and to prepare an Annual Investment Strategy. This sets out the Council’s policies for managing its investments and for giving priority to the security and liquidity of those investments</w:t>
      </w:r>
      <w:r w:rsidR="00AA0E2B">
        <w:rPr>
          <w:rFonts w:cs="Arial"/>
          <w:bCs/>
          <w:szCs w:val="24"/>
        </w:rPr>
        <w:t xml:space="preserve"> </w:t>
      </w:r>
      <w:r w:rsidR="00AA0E2B" w:rsidRPr="00C206D8">
        <w:rPr>
          <w:rFonts w:cs="Arial"/>
          <w:bCs/>
          <w:szCs w:val="24"/>
        </w:rPr>
        <w:t>ahead of yield considerations</w:t>
      </w:r>
      <w:r w:rsidRPr="00C206D8">
        <w:rPr>
          <w:rFonts w:cs="Arial"/>
          <w:bCs/>
          <w:szCs w:val="24"/>
        </w:rPr>
        <w:t>.</w:t>
      </w:r>
      <w:r w:rsidRPr="00820F85">
        <w:rPr>
          <w:rFonts w:cs="Arial"/>
          <w:bCs/>
          <w:szCs w:val="24"/>
        </w:rPr>
        <w:t xml:space="preserve"> This report assists the Council in fulfilling its statutory obligation under the Local Government Act 2003 to monitor its borrowing and investment activities.</w:t>
      </w:r>
    </w:p>
    <w:p w14:paraId="11F2AC04" w14:textId="77777777" w:rsidR="00333FAA" w:rsidRDefault="00333FAA" w:rsidP="006F3756">
      <w:pPr>
        <w:pStyle w:val="Heading3"/>
        <w:spacing w:before="480" w:after="240"/>
        <w:ind w:left="0" w:firstLine="0"/>
      </w:pPr>
      <w:r>
        <w:lastRenderedPageBreak/>
        <w:t>Financial Implications</w:t>
      </w:r>
    </w:p>
    <w:p w14:paraId="397F282D" w14:textId="753D8D2D" w:rsidR="008A4061" w:rsidRPr="00820F85" w:rsidRDefault="008A4061" w:rsidP="0064287C">
      <w:pPr>
        <w:pStyle w:val="ListParagraph"/>
        <w:numPr>
          <w:ilvl w:val="0"/>
          <w:numId w:val="22"/>
        </w:numPr>
        <w:ind w:left="0" w:hanging="720"/>
        <w:jc w:val="both"/>
        <w:rPr>
          <w:rFonts w:cs="Arial"/>
          <w:bCs/>
          <w:szCs w:val="24"/>
        </w:rPr>
      </w:pPr>
      <w:r w:rsidRPr="00820F85">
        <w:rPr>
          <w:rFonts w:cs="Arial"/>
          <w:bCs/>
          <w:szCs w:val="24"/>
        </w:rPr>
        <w:t>In addition to supporting the Council’s revenue and capital programmes the Treasury Management interest budget is an important part of the revenue budget. Any</w:t>
      </w:r>
      <w:r w:rsidR="00AA0E2B">
        <w:rPr>
          <w:rFonts w:cs="Arial"/>
          <w:bCs/>
          <w:szCs w:val="24"/>
        </w:rPr>
        <w:t xml:space="preserve"> </w:t>
      </w:r>
      <w:r w:rsidR="00AA0E2B" w:rsidRPr="00C206D8">
        <w:rPr>
          <w:rFonts w:cs="Arial"/>
          <w:bCs/>
          <w:szCs w:val="24"/>
        </w:rPr>
        <w:t>additional income obtained,</w:t>
      </w:r>
      <w:r w:rsidRPr="00820F85">
        <w:rPr>
          <w:rFonts w:cs="Arial"/>
          <w:bCs/>
          <w:szCs w:val="24"/>
        </w:rPr>
        <w:t xml:space="preserve"> savings achieved, or overspends incurred, h</w:t>
      </w:r>
      <w:r w:rsidR="00AA0E2B">
        <w:rPr>
          <w:rFonts w:cs="Arial"/>
          <w:bCs/>
          <w:szCs w:val="24"/>
        </w:rPr>
        <w:t>as</w:t>
      </w:r>
      <w:r w:rsidRPr="00820F85">
        <w:rPr>
          <w:rFonts w:cs="Arial"/>
          <w:bCs/>
          <w:szCs w:val="24"/>
        </w:rPr>
        <w:t xml:space="preserve"> a direct impact on the financial performance of the budget. </w:t>
      </w:r>
    </w:p>
    <w:p w14:paraId="41D80CF8" w14:textId="77777777" w:rsidR="00333FAA" w:rsidRPr="00C15DE2" w:rsidRDefault="00333FAA" w:rsidP="006F3756">
      <w:pPr>
        <w:pStyle w:val="Heading3"/>
        <w:spacing w:before="480" w:after="240"/>
        <w:ind w:left="0" w:firstLine="0"/>
      </w:pPr>
      <w:r w:rsidRPr="00C15DE2">
        <w:t>Equalities implications</w:t>
      </w:r>
      <w:r w:rsidR="001C7E35" w:rsidRPr="00C15DE2">
        <w:t xml:space="preserve"> </w:t>
      </w:r>
      <w:r w:rsidRPr="00C15DE2">
        <w:t>/</w:t>
      </w:r>
      <w:r w:rsidR="001C7E35" w:rsidRPr="00C15DE2">
        <w:t xml:space="preserve"> </w:t>
      </w:r>
      <w:r w:rsidRPr="00C15DE2">
        <w:t>Public Sector Equality Duty</w:t>
      </w:r>
    </w:p>
    <w:p w14:paraId="580C91D2" w14:textId="01A4DEBC" w:rsidR="006F3756" w:rsidRPr="00750667" w:rsidRDefault="001F2235" w:rsidP="0064287C">
      <w:pPr>
        <w:pStyle w:val="ListParagraph"/>
        <w:numPr>
          <w:ilvl w:val="0"/>
          <w:numId w:val="23"/>
        </w:numPr>
        <w:ind w:left="0" w:hanging="720"/>
        <w:jc w:val="both"/>
        <w:rPr>
          <w:rFonts w:cs="Arial"/>
          <w:bCs/>
          <w:szCs w:val="24"/>
        </w:rPr>
      </w:pPr>
      <w:r w:rsidRPr="00820F85">
        <w:rPr>
          <w:rFonts w:cs="Arial"/>
          <w:bCs/>
          <w:szCs w:val="24"/>
        </w:rPr>
        <w:t>Th</w:t>
      </w:r>
      <w:r w:rsidRPr="006F3756">
        <w:rPr>
          <w:rFonts w:cs="Arial"/>
          <w:bCs/>
          <w:szCs w:val="24"/>
        </w:rPr>
        <w:t>ere is no direct equalities impact.</w:t>
      </w:r>
    </w:p>
    <w:p w14:paraId="0E9ED8C5" w14:textId="65541117" w:rsidR="00333FAA" w:rsidRPr="00C15DE2" w:rsidRDefault="001F2235" w:rsidP="006F3756">
      <w:pPr>
        <w:pStyle w:val="Heading3"/>
        <w:spacing w:before="480" w:after="240"/>
        <w:ind w:left="0" w:firstLine="0"/>
        <w:rPr>
          <w:rFonts w:eastAsia="Arial"/>
        </w:rPr>
      </w:pPr>
      <w:r w:rsidRPr="00C15DE2">
        <w:rPr>
          <w:sz w:val="32"/>
          <w:szCs w:val="32"/>
        </w:rPr>
        <w:t>C</w:t>
      </w:r>
      <w:r w:rsidR="00333FAA" w:rsidRPr="00C15DE2">
        <w:rPr>
          <w:sz w:val="32"/>
          <w:szCs w:val="32"/>
        </w:rPr>
        <w:t>ouncil Priorities</w:t>
      </w:r>
    </w:p>
    <w:p w14:paraId="74ED77AB" w14:textId="7D0C16EF" w:rsidR="00307F76" w:rsidRDefault="001F2235" w:rsidP="0064287C">
      <w:pPr>
        <w:pStyle w:val="ListParagraph"/>
        <w:numPr>
          <w:ilvl w:val="0"/>
          <w:numId w:val="24"/>
        </w:numPr>
        <w:ind w:left="0" w:hanging="709"/>
        <w:jc w:val="both"/>
        <w:rPr>
          <w:rFonts w:cs="Arial"/>
          <w:bCs/>
          <w:szCs w:val="24"/>
        </w:rPr>
      </w:pPr>
      <w:bookmarkStart w:id="23" w:name="_Hlk88574910"/>
      <w:r w:rsidRPr="00820F85">
        <w:rPr>
          <w:rFonts w:cs="Arial"/>
          <w:bCs/>
          <w:szCs w:val="24"/>
        </w:rPr>
        <w:t>This report deals with the Treasury Management Strategy which plays a significant part in supporting the delivery of all the Council’s corporate priorities.</w:t>
      </w:r>
      <w:bookmarkEnd w:id="23"/>
    </w:p>
    <w:p w14:paraId="5514D939" w14:textId="1FE075B4" w:rsidR="00333FAA" w:rsidRDefault="00333FAA" w:rsidP="000B7C66">
      <w:pPr>
        <w:pStyle w:val="Heading2"/>
        <w:spacing w:before="480" w:after="240"/>
      </w:pPr>
      <w:r>
        <w:t>Section 3 - Statutory Officer Clearance</w:t>
      </w:r>
    </w:p>
    <w:p w14:paraId="3B5D52F9" w14:textId="3F5FA4C0" w:rsidR="00A66326" w:rsidRPr="00122B9A" w:rsidRDefault="00A66326" w:rsidP="00A66326">
      <w:pPr>
        <w:rPr>
          <w:color w:val="000000" w:themeColor="text1"/>
          <w:sz w:val="28"/>
        </w:rPr>
      </w:pPr>
      <w:r w:rsidRPr="00122B9A">
        <w:rPr>
          <w:b/>
          <w:color w:val="000000" w:themeColor="text1"/>
          <w:sz w:val="28"/>
        </w:rPr>
        <w:t xml:space="preserve">Statutory Officer:  </w:t>
      </w:r>
      <w:r w:rsidR="003D6E2F" w:rsidRPr="00122B9A">
        <w:rPr>
          <w:b/>
          <w:color w:val="000000" w:themeColor="text1"/>
          <w:sz w:val="28"/>
        </w:rPr>
        <w:t>Sharon Daniels</w:t>
      </w:r>
    </w:p>
    <w:p w14:paraId="33977AD6" w14:textId="59CD8241" w:rsidR="00A66326" w:rsidRPr="00122B9A" w:rsidRDefault="00A66326" w:rsidP="00A66326">
      <w:pPr>
        <w:rPr>
          <w:color w:val="000000" w:themeColor="text1"/>
        </w:rPr>
      </w:pPr>
      <w:r w:rsidRPr="00122B9A">
        <w:rPr>
          <w:color w:val="000000" w:themeColor="text1"/>
        </w:rPr>
        <w:t>Signed on behalf of</w:t>
      </w:r>
      <w:r w:rsidR="003D6E2F" w:rsidRPr="00122B9A">
        <w:rPr>
          <w:color w:val="000000" w:themeColor="text1"/>
        </w:rPr>
        <w:t xml:space="preserve"> the</w:t>
      </w:r>
      <w:r w:rsidRPr="00122B9A">
        <w:rPr>
          <w:color w:val="000000" w:themeColor="text1"/>
        </w:rPr>
        <w:t xml:space="preserve"> Chief Financial Officer</w:t>
      </w:r>
    </w:p>
    <w:p w14:paraId="555021EF" w14:textId="17B950BA" w:rsidR="00A66326" w:rsidRPr="00122B9A" w:rsidRDefault="00A66326" w:rsidP="00A66326">
      <w:pPr>
        <w:spacing w:after="480"/>
        <w:rPr>
          <w:color w:val="000000" w:themeColor="text1"/>
          <w:sz w:val="28"/>
        </w:rPr>
      </w:pPr>
      <w:r w:rsidRPr="00122B9A">
        <w:rPr>
          <w:b/>
          <w:color w:val="000000" w:themeColor="text1"/>
          <w:sz w:val="28"/>
        </w:rPr>
        <w:t xml:space="preserve">Date:  </w:t>
      </w:r>
      <w:r w:rsidR="00122B9A" w:rsidRPr="00122B9A">
        <w:rPr>
          <w:b/>
          <w:color w:val="000000" w:themeColor="text1"/>
          <w:sz w:val="28"/>
        </w:rPr>
        <w:t>29</w:t>
      </w:r>
      <w:r w:rsidR="00AA0E2B" w:rsidRPr="00122B9A">
        <w:rPr>
          <w:b/>
          <w:color w:val="000000" w:themeColor="text1"/>
          <w:sz w:val="28"/>
        </w:rPr>
        <w:t>/</w:t>
      </w:r>
      <w:r w:rsidR="00122B9A" w:rsidRPr="00122B9A">
        <w:rPr>
          <w:b/>
          <w:color w:val="000000" w:themeColor="text1"/>
          <w:sz w:val="28"/>
        </w:rPr>
        <w:t>01</w:t>
      </w:r>
      <w:r w:rsidR="003D6E2F" w:rsidRPr="00122B9A">
        <w:rPr>
          <w:b/>
          <w:color w:val="000000" w:themeColor="text1"/>
          <w:sz w:val="28"/>
        </w:rPr>
        <w:t>/20</w:t>
      </w:r>
      <w:r w:rsidR="00AA0E2B" w:rsidRPr="00122B9A">
        <w:rPr>
          <w:b/>
          <w:color w:val="000000" w:themeColor="text1"/>
          <w:sz w:val="28"/>
        </w:rPr>
        <w:t>24</w:t>
      </w:r>
    </w:p>
    <w:p w14:paraId="7E329E85" w14:textId="497F3245" w:rsidR="00A66326" w:rsidRPr="00122B9A" w:rsidRDefault="00A66326" w:rsidP="00A66326">
      <w:pPr>
        <w:rPr>
          <w:color w:val="000000" w:themeColor="text1"/>
          <w:sz w:val="28"/>
        </w:rPr>
      </w:pPr>
      <w:r w:rsidRPr="00122B9A">
        <w:rPr>
          <w:b/>
          <w:color w:val="000000" w:themeColor="text1"/>
          <w:sz w:val="28"/>
        </w:rPr>
        <w:t xml:space="preserve">Statutory Officer:  </w:t>
      </w:r>
      <w:r w:rsidR="002C1B10">
        <w:rPr>
          <w:b/>
          <w:color w:val="000000" w:themeColor="text1"/>
          <w:sz w:val="28"/>
        </w:rPr>
        <w:t>Sharon Clarke</w:t>
      </w:r>
    </w:p>
    <w:p w14:paraId="76E71941" w14:textId="1BFCB44F" w:rsidR="00A66326" w:rsidRPr="00122B9A" w:rsidRDefault="00A66326" w:rsidP="00A66326">
      <w:pPr>
        <w:rPr>
          <w:color w:val="000000" w:themeColor="text1"/>
        </w:rPr>
      </w:pPr>
      <w:r w:rsidRPr="00122B9A">
        <w:rPr>
          <w:color w:val="000000" w:themeColor="text1"/>
        </w:rPr>
        <w:t>Signed on behalf of the Monitoring Officer</w:t>
      </w:r>
    </w:p>
    <w:p w14:paraId="1AC0D358" w14:textId="343296C0" w:rsidR="00A66326" w:rsidRPr="00122B9A" w:rsidRDefault="00A66326" w:rsidP="00A66326">
      <w:pPr>
        <w:spacing w:after="480"/>
        <w:rPr>
          <w:color w:val="000000" w:themeColor="text1"/>
          <w:sz w:val="28"/>
        </w:rPr>
      </w:pPr>
      <w:r w:rsidRPr="00122B9A">
        <w:rPr>
          <w:b/>
          <w:color w:val="000000" w:themeColor="text1"/>
          <w:sz w:val="28"/>
        </w:rPr>
        <w:t xml:space="preserve">Date:  </w:t>
      </w:r>
      <w:r w:rsidR="002C1B10">
        <w:rPr>
          <w:b/>
          <w:color w:val="000000" w:themeColor="text1"/>
          <w:sz w:val="28"/>
        </w:rPr>
        <w:t>31</w:t>
      </w:r>
      <w:r w:rsidR="00AA0E2B" w:rsidRPr="00122B9A">
        <w:rPr>
          <w:b/>
          <w:color w:val="000000" w:themeColor="text1"/>
          <w:sz w:val="28"/>
        </w:rPr>
        <w:t>/</w:t>
      </w:r>
      <w:r w:rsidR="002C1B10">
        <w:rPr>
          <w:b/>
          <w:color w:val="000000" w:themeColor="text1"/>
          <w:sz w:val="28"/>
        </w:rPr>
        <w:t>01</w:t>
      </w:r>
      <w:r w:rsidR="00AA0E2B" w:rsidRPr="00122B9A">
        <w:rPr>
          <w:b/>
          <w:color w:val="000000" w:themeColor="text1"/>
          <w:sz w:val="28"/>
        </w:rPr>
        <w:t>/2024</w:t>
      </w:r>
    </w:p>
    <w:p w14:paraId="31D8FA55" w14:textId="77BB62BA" w:rsidR="00BF5AFA" w:rsidRPr="00122B9A" w:rsidRDefault="00BF5AFA" w:rsidP="00BF5AFA">
      <w:pPr>
        <w:rPr>
          <w:color w:val="000000" w:themeColor="text1"/>
          <w:sz w:val="28"/>
        </w:rPr>
      </w:pPr>
      <w:r w:rsidRPr="00122B9A">
        <w:rPr>
          <w:b/>
          <w:color w:val="000000" w:themeColor="text1"/>
          <w:sz w:val="28"/>
        </w:rPr>
        <w:t xml:space="preserve">Chief Officer:  </w:t>
      </w:r>
      <w:r w:rsidR="00122B9A" w:rsidRPr="00122B9A">
        <w:rPr>
          <w:b/>
          <w:color w:val="000000" w:themeColor="text1"/>
          <w:sz w:val="28"/>
        </w:rPr>
        <w:t>Sharon Daniels</w:t>
      </w:r>
    </w:p>
    <w:p w14:paraId="34A60057" w14:textId="375952A4" w:rsidR="00BF5AFA" w:rsidRPr="00122B9A" w:rsidRDefault="00BF5AFA" w:rsidP="00BF5AFA">
      <w:pPr>
        <w:rPr>
          <w:color w:val="000000" w:themeColor="text1"/>
        </w:rPr>
      </w:pPr>
      <w:r w:rsidRPr="00122B9A">
        <w:rPr>
          <w:color w:val="000000" w:themeColor="text1"/>
        </w:rPr>
        <w:t xml:space="preserve">Signed </w:t>
      </w:r>
      <w:r w:rsidR="003D6E2F" w:rsidRPr="00122B9A">
        <w:rPr>
          <w:color w:val="000000" w:themeColor="text1"/>
        </w:rPr>
        <w:t xml:space="preserve">on behalf of </w:t>
      </w:r>
      <w:r w:rsidRPr="00122B9A">
        <w:rPr>
          <w:color w:val="000000" w:themeColor="text1"/>
        </w:rPr>
        <w:t>the Corporate Director</w:t>
      </w:r>
    </w:p>
    <w:p w14:paraId="5F67CDF0" w14:textId="6A67DBDC" w:rsidR="00BF5AFA" w:rsidRPr="00122B9A" w:rsidRDefault="00BF5AFA" w:rsidP="00BF5AFA">
      <w:pPr>
        <w:spacing w:after="480"/>
        <w:rPr>
          <w:color w:val="000000" w:themeColor="text1"/>
          <w:sz w:val="28"/>
        </w:rPr>
      </w:pPr>
      <w:r w:rsidRPr="00122B9A">
        <w:rPr>
          <w:b/>
          <w:color w:val="000000" w:themeColor="text1"/>
          <w:sz w:val="28"/>
        </w:rPr>
        <w:t xml:space="preserve">Date:  </w:t>
      </w:r>
      <w:r w:rsidR="00122B9A" w:rsidRPr="00122B9A">
        <w:rPr>
          <w:b/>
          <w:color w:val="000000" w:themeColor="text1"/>
          <w:sz w:val="28"/>
        </w:rPr>
        <w:t>29</w:t>
      </w:r>
      <w:r w:rsidR="00AA0E2B" w:rsidRPr="00122B9A">
        <w:rPr>
          <w:b/>
          <w:color w:val="000000" w:themeColor="text1"/>
          <w:sz w:val="28"/>
        </w:rPr>
        <w:t>/</w:t>
      </w:r>
      <w:r w:rsidR="00122B9A" w:rsidRPr="00122B9A">
        <w:rPr>
          <w:b/>
          <w:color w:val="000000" w:themeColor="text1"/>
          <w:sz w:val="28"/>
        </w:rPr>
        <w:t>10</w:t>
      </w:r>
      <w:r w:rsidR="00AA0E2B" w:rsidRPr="00122B9A">
        <w:rPr>
          <w:b/>
          <w:color w:val="000000" w:themeColor="text1"/>
          <w:sz w:val="28"/>
        </w:rPr>
        <w:t>/2024</w:t>
      </w:r>
    </w:p>
    <w:p w14:paraId="2C546334" w14:textId="602B567A" w:rsidR="00BF5AFA" w:rsidRPr="00A66326" w:rsidRDefault="00BF5AFA" w:rsidP="00BF5AFA">
      <w:pPr>
        <w:rPr>
          <w:sz w:val="28"/>
        </w:rPr>
      </w:pPr>
      <w:r>
        <w:rPr>
          <w:b/>
          <w:sz w:val="28"/>
        </w:rPr>
        <w:t>Head of Procurement</w:t>
      </w:r>
      <w:r w:rsidRPr="00A66326">
        <w:rPr>
          <w:b/>
          <w:sz w:val="28"/>
        </w:rPr>
        <w:t xml:space="preserve">:  </w:t>
      </w:r>
      <w:r w:rsidR="003D6E2F">
        <w:rPr>
          <w:b/>
          <w:sz w:val="28"/>
        </w:rPr>
        <w:t>Nimesh Mehta</w:t>
      </w:r>
    </w:p>
    <w:p w14:paraId="399669DE" w14:textId="008F8BFB" w:rsidR="00BF5AFA" w:rsidRPr="003D6E2F" w:rsidRDefault="00BF5AFA" w:rsidP="00BF5AFA">
      <w:r w:rsidRPr="00A66326">
        <w:t xml:space="preserve">Signed by the </w:t>
      </w:r>
      <w:r>
        <w:t>Head of Procurement</w:t>
      </w:r>
    </w:p>
    <w:p w14:paraId="5A683B65" w14:textId="48A5AFAF" w:rsidR="00BF5AFA" w:rsidRDefault="00BF5AFA" w:rsidP="00BF5AFA">
      <w:pPr>
        <w:spacing w:after="480"/>
        <w:rPr>
          <w:b/>
          <w:sz w:val="28"/>
        </w:rPr>
      </w:pPr>
      <w:r w:rsidRPr="00A66326">
        <w:rPr>
          <w:b/>
          <w:sz w:val="28"/>
        </w:rPr>
        <w:t>Date</w:t>
      </w:r>
      <w:r w:rsidRPr="00122B9A">
        <w:rPr>
          <w:b/>
          <w:color w:val="000000" w:themeColor="text1"/>
          <w:sz w:val="28"/>
        </w:rPr>
        <w:t xml:space="preserve">:  </w:t>
      </w:r>
      <w:r w:rsidR="00122B9A" w:rsidRPr="00122B9A">
        <w:rPr>
          <w:b/>
          <w:color w:val="000000" w:themeColor="text1"/>
          <w:sz w:val="28"/>
        </w:rPr>
        <w:t>29</w:t>
      </w:r>
      <w:r w:rsidR="00AA0E2B" w:rsidRPr="00122B9A">
        <w:rPr>
          <w:b/>
          <w:color w:val="000000" w:themeColor="text1"/>
          <w:sz w:val="28"/>
        </w:rPr>
        <w:t>/</w:t>
      </w:r>
      <w:r w:rsidR="00122B9A" w:rsidRPr="00122B9A">
        <w:rPr>
          <w:b/>
          <w:color w:val="000000" w:themeColor="text1"/>
          <w:sz w:val="28"/>
        </w:rPr>
        <w:t>01</w:t>
      </w:r>
      <w:r w:rsidR="00AA0E2B" w:rsidRPr="00122B9A">
        <w:rPr>
          <w:b/>
          <w:color w:val="000000" w:themeColor="text1"/>
          <w:sz w:val="28"/>
        </w:rPr>
        <w:t>/2024</w:t>
      </w:r>
    </w:p>
    <w:p w14:paraId="113297A5" w14:textId="3CA83357" w:rsidR="00BF5AFA" w:rsidRPr="00A66326" w:rsidRDefault="00BF5AFA" w:rsidP="00BF5AFA">
      <w:pPr>
        <w:rPr>
          <w:sz w:val="28"/>
        </w:rPr>
      </w:pPr>
      <w:r>
        <w:rPr>
          <w:b/>
          <w:sz w:val="28"/>
        </w:rPr>
        <w:t>Head of Internal Audit</w:t>
      </w:r>
      <w:r w:rsidRPr="00A66326">
        <w:rPr>
          <w:b/>
          <w:sz w:val="28"/>
        </w:rPr>
        <w:t xml:space="preserve">:  </w:t>
      </w:r>
      <w:r w:rsidR="00EA6E41">
        <w:rPr>
          <w:b/>
          <w:sz w:val="28"/>
        </w:rPr>
        <w:t xml:space="preserve">Neale Burns </w:t>
      </w:r>
    </w:p>
    <w:p w14:paraId="3B1CEB5F" w14:textId="742180E6" w:rsidR="00BF5AFA" w:rsidRPr="003D6E2F" w:rsidRDefault="00BF5AFA" w:rsidP="00BF5AFA">
      <w:r w:rsidRPr="00A66326">
        <w:t xml:space="preserve">Signed </w:t>
      </w:r>
      <w:r w:rsidR="00EA6E41">
        <w:t xml:space="preserve">on behalf </w:t>
      </w:r>
      <w:r w:rsidR="00595F7A">
        <w:t xml:space="preserve">of </w:t>
      </w:r>
      <w:r w:rsidRPr="00A66326">
        <w:t xml:space="preserve">the </w:t>
      </w:r>
      <w:r>
        <w:t>Head of Internal Audi</w:t>
      </w:r>
      <w:r w:rsidR="003D6E2F">
        <w:t>t</w:t>
      </w:r>
    </w:p>
    <w:p w14:paraId="065BF29C" w14:textId="5A568175" w:rsidR="00BF5AFA" w:rsidRDefault="00BF5AFA" w:rsidP="00BF5AFA">
      <w:pPr>
        <w:pStyle w:val="Heading2"/>
        <w:spacing w:after="240"/>
        <w:rPr>
          <w:rFonts w:ascii="Arial" w:hAnsi="Arial"/>
          <w:b w:val="0"/>
          <w:sz w:val="28"/>
          <w:szCs w:val="28"/>
        </w:rPr>
      </w:pPr>
      <w:r w:rsidRPr="003D6E2F">
        <w:rPr>
          <w:rFonts w:ascii="Arial" w:hAnsi="Arial" w:cs="Times New Roman"/>
          <w:bCs w:val="0"/>
          <w:sz w:val="28"/>
          <w:szCs w:val="20"/>
        </w:rPr>
        <w:t>Date:</w:t>
      </w:r>
      <w:r w:rsidR="003D6E2F" w:rsidRPr="003D6E2F">
        <w:rPr>
          <w:rFonts w:ascii="Arial" w:hAnsi="Arial" w:cs="Times New Roman"/>
          <w:bCs w:val="0"/>
          <w:sz w:val="28"/>
          <w:szCs w:val="20"/>
        </w:rPr>
        <w:t xml:space="preserve"> </w:t>
      </w:r>
      <w:r w:rsidR="00595F7A" w:rsidRPr="002C1B10">
        <w:rPr>
          <w:rFonts w:ascii="Arial" w:hAnsi="Arial"/>
          <w:b w:val="0"/>
          <w:sz w:val="28"/>
          <w:szCs w:val="28"/>
        </w:rPr>
        <w:t>29</w:t>
      </w:r>
      <w:r w:rsidR="00AA0E2B" w:rsidRPr="002C1B10">
        <w:rPr>
          <w:rFonts w:ascii="Arial" w:hAnsi="Arial"/>
          <w:b w:val="0"/>
          <w:sz w:val="28"/>
          <w:szCs w:val="28"/>
        </w:rPr>
        <w:t>/</w:t>
      </w:r>
      <w:r w:rsidR="00595F7A" w:rsidRPr="002C1B10">
        <w:rPr>
          <w:rFonts w:ascii="Arial" w:hAnsi="Arial"/>
          <w:b w:val="0"/>
          <w:sz w:val="28"/>
          <w:szCs w:val="28"/>
        </w:rPr>
        <w:t>01</w:t>
      </w:r>
      <w:r w:rsidR="00AA0E2B" w:rsidRPr="002C1B10">
        <w:rPr>
          <w:rFonts w:ascii="Arial" w:hAnsi="Arial"/>
          <w:sz w:val="28"/>
          <w:szCs w:val="28"/>
        </w:rPr>
        <w:t>/20</w:t>
      </w:r>
      <w:r w:rsidR="00AA0E2B" w:rsidRPr="002C1B10">
        <w:rPr>
          <w:rFonts w:ascii="Arial" w:hAnsi="Arial"/>
          <w:b w:val="0"/>
          <w:sz w:val="28"/>
          <w:szCs w:val="28"/>
        </w:rPr>
        <w:t>24</w:t>
      </w:r>
    </w:p>
    <w:p w14:paraId="7FDF5603" w14:textId="08DA88AB" w:rsidR="00695DD8" w:rsidRDefault="00695DD8" w:rsidP="00695DD8">
      <w:r w:rsidRPr="00695DD8">
        <w:rPr>
          <w:b/>
          <w:bCs/>
        </w:rPr>
        <w:t>Has the Portfolio Holder(s) been consulted?</w:t>
      </w:r>
      <w:r w:rsidRPr="00695DD8">
        <w:t xml:space="preserve"> Yes</w:t>
      </w:r>
    </w:p>
    <w:p w14:paraId="4F8B6103" w14:textId="77777777" w:rsidR="00695DD8" w:rsidRDefault="00695DD8" w:rsidP="00695DD8"/>
    <w:p w14:paraId="2214443D" w14:textId="77777777" w:rsidR="00695DD8" w:rsidRDefault="00695DD8" w:rsidP="00695DD8"/>
    <w:p w14:paraId="275D5862" w14:textId="77777777" w:rsidR="00695DD8" w:rsidRDefault="00695DD8" w:rsidP="00695DD8"/>
    <w:p w14:paraId="03C52897" w14:textId="77777777" w:rsidR="00695DD8" w:rsidRPr="00695DD8" w:rsidRDefault="00695DD8" w:rsidP="00695DD8"/>
    <w:p w14:paraId="45A19EC7" w14:textId="59434FDF" w:rsidR="003313EA" w:rsidRPr="00435B5D" w:rsidRDefault="003313EA" w:rsidP="00BF5AFA">
      <w:pPr>
        <w:pStyle w:val="Heading2"/>
        <w:spacing w:before="480" w:after="240"/>
      </w:pPr>
      <w:r>
        <w:lastRenderedPageBreak/>
        <w:t>Mandatory Checks</w:t>
      </w:r>
    </w:p>
    <w:p w14:paraId="64551188" w14:textId="0B642356" w:rsidR="003313EA" w:rsidRPr="00A406F3" w:rsidRDefault="003313EA" w:rsidP="003313EA">
      <w:pPr>
        <w:pStyle w:val="Heading3"/>
        <w:ind w:left="0" w:firstLine="0"/>
        <w:jc w:val="left"/>
      </w:pPr>
      <w:r w:rsidRPr="003313EA">
        <w:t xml:space="preserve">Ward Councillors </w:t>
      </w:r>
      <w:r>
        <w:t xml:space="preserve">notified:  </w:t>
      </w:r>
      <w:r w:rsidRPr="00A406F3">
        <w:t xml:space="preserve"> NO</w:t>
      </w:r>
      <w:r w:rsidRPr="00333FAA">
        <w:t xml:space="preserve">, as it impacts on all </w:t>
      </w:r>
      <w:proofErr w:type="gramStart"/>
      <w:r w:rsidRPr="00333FAA">
        <w:t>Wards</w:t>
      </w:r>
      <w:proofErr w:type="gramEnd"/>
      <w:r w:rsidRPr="00A406F3">
        <w:t xml:space="preserve"> </w:t>
      </w:r>
    </w:p>
    <w:p w14:paraId="4804D4E7" w14:textId="2FDAE331" w:rsidR="00E45EF0" w:rsidRPr="00E45EF0" w:rsidRDefault="003313EA" w:rsidP="00E45EF0">
      <w:pPr>
        <w:pStyle w:val="Heading3"/>
        <w:spacing w:before="240"/>
        <w:ind w:left="0" w:firstLine="0"/>
        <w:rPr>
          <w:b w:val="0"/>
        </w:rPr>
      </w:pPr>
      <w:proofErr w:type="spellStart"/>
      <w:r w:rsidRPr="00202D79">
        <w:t>EqIA</w:t>
      </w:r>
      <w:proofErr w:type="spellEnd"/>
      <w:r w:rsidRPr="00202D79">
        <w:t xml:space="preserve"> carried out:</w:t>
      </w:r>
      <w:r>
        <w:t xml:space="preserve"> </w:t>
      </w:r>
      <w:r w:rsidRPr="00202D79">
        <w:t>NO</w:t>
      </w:r>
      <w:r w:rsidR="00E45EF0">
        <w:rPr>
          <w:b w:val="0"/>
        </w:rPr>
        <w:t xml:space="preserve">, </w:t>
      </w:r>
      <w:r w:rsidR="00E45EF0" w:rsidRPr="00E45EF0">
        <w:rPr>
          <w:rFonts w:cs="Times New Roman"/>
          <w:b w:val="0"/>
          <w:bCs w:val="0"/>
          <w:szCs w:val="20"/>
        </w:rPr>
        <w:t xml:space="preserve">an </w:t>
      </w:r>
      <w:proofErr w:type="spellStart"/>
      <w:r w:rsidR="00E45EF0" w:rsidRPr="00E45EF0">
        <w:rPr>
          <w:rFonts w:cs="Times New Roman"/>
          <w:b w:val="0"/>
          <w:bCs w:val="0"/>
          <w:szCs w:val="20"/>
        </w:rPr>
        <w:t>EqIA</w:t>
      </w:r>
      <w:proofErr w:type="spellEnd"/>
      <w:r w:rsidR="00E45EF0" w:rsidRPr="00E45EF0">
        <w:rPr>
          <w:rFonts w:cs="Times New Roman"/>
          <w:b w:val="0"/>
          <w:bCs w:val="0"/>
          <w:szCs w:val="20"/>
        </w:rPr>
        <w:t xml:space="preserve"> is not required for Cabinet to take a </w:t>
      </w:r>
      <w:proofErr w:type="gramStart"/>
      <w:r w:rsidR="00E45EF0" w:rsidRPr="00E45EF0">
        <w:rPr>
          <w:rFonts w:cs="Times New Roman"/>
          <w:b w:val="0"/>
          <w:bCs w:val="0"/>
          <w:szCs w:val="20"/>
        </w:rPr>
        <w:t>decision</w:t>
      </w:r>
      <w:proofErr w:type="gramEnd"/>
    </w:p>
    <w:p w14:paraId="63889939" w14:textId="60B2D792" w:rsidR="00C10306" w:rsidRPr="00C10306" w:rsidRDefault="003313EA" w:rsidP="00695DD8">
      <w:pPr>
        <w:pStyle w:val="Heading3"/>
        <w:spacing w:before="240"/>
        <w:jc w:val="left"/>
      </w:pPr>
      <w:proofErr w:type="spellStart"/>
      <w:r w:rsidRPr="00202D79">
        <w:t>EqIA</w:t>
      </w:r>
      <w:proofErr w:type="spellEnd"/>
      <w:r w:rsidRPr="00202D79">
        <w:t xml:space="preserve"> cleared by:</w:t>
      </w:r>
      <w:r>
        <w:t xml:space="preserve">  </w:t>
      </w:r>
      <w:r w:rsidR="0099334D">
        <w:t>NA</w:t>
      </w:r>
    </w:p>
    <w:p w14:paraId="41E16C55" w14:textId="77777777" w:rsidR="00333FAA" w:rsidRDefault="00333FAA" w:rsidP="00842757">
      <w:pPr>
        <w:pStyle w:val="Heading2"/>
        <w:spacing w:before="480" w:after="240"/>
      </w:pPr>
      <w:r>
        <w:t xml:space="preserve">Section </w:t>
      </w:r>
      <w:r w:rsidR="00A20113">
        <w:t>4</w:t>
      </w:r>
      <w:r>
        <w:t xml:space="preserve"> - </w:t>
      </w:r>
      <w:bookmarkStart w:id="24" w:name="_Hlk94854064"/>
      <w:r>
        <w:t xml:space="preserve">Contact Details and Background </w:t>
      </w:r>
      <w:bookmarkEnd w:id="24"/>
      <w:r>
        <w:t>Papers</w:t>
      </w:r>
    </w:p>
    <w:p w14:paraId="0005C0E4" w14:textId="53BB98A3" w:rsidR="00333FAA" w:rsidRPr="005808FB" w:rsidRDefault="00333FAA" w:rsidP="00CC18AC">
      <w:pPr>
        <w:pStyle w:val="Infotext"/>
        <w:spacing w:after="240"/>
        <w:rPr>
          <w:color w:val="FF0000"/>
        </w:rPr>
      </w:pPr>
      <w:r w:rsidRPr="004E47FC">
        <w:rPr>
          <w:b/>
        </w:rPr>
        <w:t xml:space="preserve">Contact:  </w:t>
      </w:r>
      <w:r w:rsidR="00AA0E2B" w:rsidRPr="0099334D">
        <w:rPr>
          <w:bCs/>
          <w:sz w:val="24"/>
          <w:szCs w:val="18"/>
        </w:rPr>
        <w:t>Sharon Daniels</w:t>
      </w:r>
      <w:r w:rsidR="003D6E2F" w:rsidRPr="0099334D">
        <w:rPr>
          <w:bCs/>
          <w:sz w:val="24"/>
          <w:szCs w:val="18"/>
        </w:rPr>
        <w:t xml:space="preserve">, Director of Finance and Assurance </w:t>
      </w:r>
      <w:r w:rsidR="00AA0E2B" w:rsidRPr="0099334D">
        <w:rPr>
          <w:bCs/>
          <w:sz w:val="24"/>
          <w:szCs w:val="18"/>
        </w:rPr>
        <w:t>Sharon.Daniels@harrow.gov.uk</w:t>
      </w:r>
    </w:p>
    <w:p w14:paraId="5643A7F9" w14:textId="6263C530" w:rsidR="005718B5" w:rsidRPr="00842757" w:rsidRDefault="00333FAA" w:rsidP="003D6E2F">
      <w:pPr>
        <w:pStyle w:val="Infotext"/>
        <w:spacing w:after="240"/>
        <w:rPr>
          <w:rFonts w:ascii="Calibri" w:hAnsi="Calibri"/>
          <w:szCs w:val="24"/>
          <w:lang w:eastAsia="en-GB"/>
        </w:rPr>
      </w:pPr>
      <w:r w:rsidRPr="004E47FC">
        <w:rPr>
          <w:b/>
        </w:rPr>
        <w:t>Background Papers</w:t>
      </w:r>
      <w:r w:rsidR="0099334D">
        <w:rPr>
          <w:b/>
        </w:rPr>
        <w:t>: None</w:t>
      </w:r>
    </w:p>
    <w:p w14:paraId="3CCA5C3B" w14:textId="4A0C50EF" w:rsidR="000D4E36" w:rsidRDefault="00842757" w:rsidP="0099334D">
      <w:pPr>
        <w:pStyle w:val="Infotext"/>
        <w:spacing w:before="480"/>
        <w:rPr>
          <w:rFonts w:cs="Arial"/>
          <w:i/>
          <w:color w:val="FF0000"/>
          <w:sz w:val="24"/>
          <w:szCs w:val="24"/>
          <w:lang w:eastAsia="en-GB"/>
        </w:rPr>
      </w:pPr>
      <w:r>
        <w:rPr>
          <w:rFonts w:ascii="Arial Black" w:hAnsi="Arial Black"/>
        </w:rPr>
        <w:t>Call-in w</w:t>
      </w:r>
      <w:r w:rsidRPr="007C0DC3">
        <w:rPr>
          <w:rFonts w:ascii="Arial Black" w:hAnsi="Arial Black"/>
        </w:rPr>
        <w:t>aived by the Chair of Overview and Scrutiny Committee</w:t>
      </w:r>
      <w:r w:rsidR="0099334D">
        <w:rPr>
          <w:rFonts w:ascii="Arial Black" w:hAnsi="Arial Black"/>
        </w:rPr>
        <w:t>: No</w:t>
      </w:r>
    </w:p>
    <w:p w14:paraId="4B18357F" w14:textId="7AC91F4D" w:rsidR="00ED1ECB" w:rsidRDefault="00ED1ECB" w:rsidP="00ED6776">
      <w:pPr>
        <w:pStyle w:val="Infotext"/>
        <w:tabs>
          <w:tab w:val="left" w:pos="3768"/>
          <w:tab w:val="left" w:pos="4315"/>
        </w:tabs>
        <w:rPr>
          <w:rFonts w:cs="Arial"/>
          <w:i/>
          <w:color w:val="FF0000"/>
          <w:sz w:val="24"/>
          <w:szCs w:val="24"/>
          <w:lang w:eastAsia="en-GB"/>
        </w:rPr>
      </w:pPr>
    </w:p>
    <w:p w14:paraId="10C2C8D5" w14:textId="1B9F5099" w:rsidR="00ED1ECB" w:rsidRDefault="00ED1ECB">
      <w:pPr>
        <w:rPr>
          <w:rFonts w:cs="Arial"/>
          <w:i/>
          <w:color w:val="FF0000"/>
          <w:szCs w:val="24"/>
          <w:lang w:eastAsia="en-GB"/>
        </w:rPr>
      </w:pPr>
      <w:r>
        <w:rPr>
          <w:rFonts w:cs="Arial"/>
          <w:i/>
          <w:color w:val="FF0000"/>
          <w:szCs w:val="24"/>
          <w:lang w:eastAsia="en-GB"/>
        </w:rPr>
        <w:br w:type="page"/>
      </w:r>
    </w:p>
    <w:p w14:paraId="5E48FBA6" w14:textId="77777777" w:rsidR="00DF27CE" w:rsidRDefault="00DF27CE" w:rsidP="00DF27CE">
      <w:pPr>
        <w:ind w:hanging="720"/>
        <w:jc w:val="right"/>
        <w:rPr>
          <w:b/>
          <w:sz w:val="32"/>
          <w:szCs w:val="32"/>
        </w:rPr>
      </w:pPr>
      <w:r>
        <w:rPr>
          <w:b/>
          <w:sz w:val="32"/>
          <w:szCs w:val="32"/>
        </w:rPr>
        <w:lastRenderedPageBreak/>
        <w:t>APPENDIX A</w:t>
      </w:r>
    </w:p>
    <w:p w14:paraId="30EAEA0B" w14:textId="77777777" w:rsidR="00DF27CE" w:rsidRDefault="00DF27CE" w:rsidP="00DF27CE">
      <w:pPr>
        <w:rPr>
          <w:szCs w:val="24"/>
        </w:rPr>
      </w:pPr>
      <w:r>
        <w:rPr>
          <w:b/>
          <w:sz w:val="32"/>
          <w:szCs w:val="32"/>
        </w:rPr>
        <w:t>LEGISLATION AND REGULATIONS IMPACTING ON TREASURY MANAGEMENT</w:t>
      </w:r>
    </w:p>
    <w:p w14:paraId="3F218090" w14:textId="77777777" w:rsidR="00DF27CE" w:rsidRDefault="00DF27CE" w:rsidP="00DF27CE">
      <w:pPr>
        <w:rPr>
          <w:szCs w:val="24"/>
        </w:rPr>
      </w:pPr>
    </w:p>
    <w:p w14:paraId="034DE29E" w14:textId="77777777" w:rsidR="00DF27CE" w:rsidRDefault="00DF27CE" w:rsidP="00DF27CE">
      <w:pPr>
        <w:jc w:val="both"/>
        <w:rPr>
          <w:szCs w:val="24"/>
        </w:rPr>
      </w:pPr>
      <w:r>
        <w:rPr>
          <w:szCs w:val="24"/>
        </w:rPr>
        <w:t xml:space="preserve">The following items numbered 1 - 4 show the sequence of legislation and regulation impacting on the treasury management function. The sequence begins with primary legislation, moves through Government guidance and Chartered Institute of Public Finance and Accountancy (CIPFA) Codes of </w:t>
      </w:r>
      <w:proofErr w:type="gramStart"/>
      <w:r>
        <w:rPr>
          <w:szCs w:val="24"/>
        </w:rPr>
        <w:t>Practice</w:t>
      </w:r>
      <w:proofErr w:type="gramEnd"/>
      <w:r>
        <w:rPr>
          <w:szCs w:val="24"/>
        </w:rPr>
        <w:t xml:space="preserve"> and finishes with implementation through the Council’s own Treasury Management Practices.</w:t>
      </w:r>
    </w:p>
    <w:p w14:paraId="5DFB73C1" w14:textId="77777777" w:rsidR="00DF27CE" w:rsidRDefault="00DF27CE" w:rsidP="00DF27CE">
      <w:pPr>
        <w:jc w:val="both"/>
        <w:rPr>
          <w:szCs w:val="24"/>
        </w:rPr>
      </w:pPr>
    </w:p>
    <w:p w14:paraId="1294A157" w14:textId="77777777" w:rsidR="00DF27CE" w:rsidRDefault="00DF27CE" w:rsidP="0064287C">
      <w:pPr>
        <w:pStyle w:val="ListParagraph"/>
        <w:numPr>
          <w:ilvl w:val="4"/>
          <w:numId w:val="8"/>
        </w:numPr>
        <w:ind w:left="567" w:hanging="567"/>
        <w:rPr>
          <w:b/>
          <w:sz w:val="28"/>
          <w:u w:val="single"/>
        </w:rPr>
      </w:pPr>
      <w:r>
        <w:rPr>
          <w:b/>
          <w:sz w:val="28"/>
          <w:u w:val="single"/>
        </w:rPr>
        <w:t>Local Government Act 2003</w:t>
      </w:r>
    </w:p>
    <w:p w14:paraId="6AFE3223" w14:textId="77777777" w:rsidR="00DF27CE" w:rsidRDefault="00DF27CE" w:rsidP="00DF27CE">
      <w:pPr>
        <w:rPr>
          <w:b/>
          <w:color w:val="0070C0"/>
        </w:rPr>
      </w:pPr>
    </w:p>
    <w:p w14:paraId="34D65703" w14:textId="77777777" w:rsidR="00DF27CE" w:rsidRDefault="00DF27CE" w:rsidP="00DF27CE">
      <w:pPr>
        <w:rPr>
          <w:b/>
          <w:sz w:val="28"/>
          <w:u w:val="single"/>
        </w:rPr>
      </w:pPr>
      <w:r>
        <w:rPr>
          <w:szCs w:val="24"/>
        </w:rPr>
        <w:t xml:space="preserve">Link: </w:t>
      </w:r>
      <w:hyperlink r:id="rId29" w:history="1">
        <w:r>
          <w:rPr>
            <w:rStyle w:val="Hyperlink"/>
            <w:b/>
            <w:color w:val="0070C0"/>
            <w:sz w:val="28"/>
          </w:rPr>
          <w:t>Local Government Act 2003</w:t>
        </w:r>
      </w:hyperlink>
    </w:p>
    <w:p w14:paraId="1DD4CFF4" w14:textId="77777777" w:rsidR="00DF27CE" w:rsidRDefault="00DF27CE" w:rsidP="00DF27CE">
      <w:pPr>
        <w:rPr>
          <w:b/>
          <w:sz w:val="28"/>
          <w:u w:val="single"/>
        </w:rPr>
      </w:pPr>
    </w:p>
    <w:p w14:paraId="083A9085" w14:textId="77777777" w:rsidR="00DF27CE" w:rsidRDefault="00DF27CE" w:rsidP="00DF27CE">
      <w:pPr>
        <w:jc w:val="both"/>
        <w:rPr>
          <w:szCs w:val="24"/>
        </w:rPr>
      </w:pPr>
      <w:r>
        <w:rPr>
          <w:szCs w:val="24"/>
        </w:rPr>
        <w:t xml:space="preserve">Below is a summary of the provisions in the Act dealing with treasury management. </w:t>
      </w:r>
    </w:p>
    <w:p w14:paraId="49C6FFBB" w14:textId="77777777" w:rsidR="00DF27CE" w:rsidRDefault="00DF27CE" w:rsidP="00DF27CE">
      <w:pPr>
        <w:jc w:val="both"/>
        <w:rPr>
          <w:szCs w:val="24"/>
        </w:rPr>
      </w:pPr>
    </w:p>
    <w:p w14:paraId="724D725C" w14:textId="78AB073D" w:rsidR="00DF27CE" w:rsidRDefault="00DF27CE" w:rsidP="00DF27CE">
      <w:pPr>
        <w:jc w:val="both"/>
        <w:rPr>
          <w:szCs w:val="24"/>
        </w:rPr>
      </w:pPr>
      <w:r>
        <w:rPr>
          <w:szCs w:val="24"/>
        </w:rPr>
        <w:t xml:space="preserve">In </w:t>
      </w:r>
      <w:proofErr w:type="gramStart"/>
      <w:r>
        <w:rPr>
          <w:szCs w:val="24"/>
        </w:rPr>
        <w:t>addition</w:t>
      </w:r>
      <w:proofErr w:type="gramEnd"/>
      <w:r>
        <w:rPr>
          <w:szCs w:val="24"/>
        </w:rPr>
        <w:t xml:space="preserve"> the Secretary of State is empowered to define the provisions through further regulations and guidance which he has subsequently done through statutory instruments, Ministry of Housing, Communities and Local Government Guidance</w:t>
      </w:r>
      <w:r w:rsidR="00EE62CE">
        <w:rPr>
          <w:szCs w:val="24"/>
        </w:rPr>
        <w:t xml:space="preserve"> (now Department of Levelling Up Housing and Communities)</w:t>
      </w:r>
      <w:r>
        <w:rPr>
          <w:szCs w:val="24"/>
        </w:rPr>
        <w:t xml:space="preserve"> and CIPFA Codes of Practice.</w:t>
      </w:r>
    </w:p>
    <w:p w14:paraId="202933ED" w14:textId="77777777" w:rsidR="00DF27CE" w:rsidRDefault="00DF27CE" w:rsidP="00DF27CE">
      <w:pPr>
        <w:rPr>
          <w:szCs w:val="24"/>
        </w:rPr>
      </w:pPr>
    </w:p>
    <w:p w14:paraId="67B9D25A" w14:textId="77777777" w:rsidR="00DF27CE" w:rsidRDefault="00DF27CE" w:rsidP="00DF27CE">
      <w:pPr>
        <w:rPr>
          <w:b/>
          <w:lang w:val="en" w:eastAsia="en-GB"/>
        </w:rPr>
      </w:pPr>
      <w:r>
        <w:rPr>
          <w:b/>
          <w:lang w:val="en" w:eastAsia="en-GB"/>
        </w:rPr>
        <w:t xml:space="preserve">Power to </w:t>
      </w:r>
      <w:proofErr w:type="gramStart"/>
      <w:r>
        <w:rPr>
          <w:b/>
          <w:lang w:val="en" w:eastAsia="en-GB"/>
        </w:rPr>
        <w:t>borrow</w:t>
      </w:r>
      <w:proofErr w:type="gramEnd"/>
    </w:p>
    <w:p w14:paraId="5EC7BCEE" w14:textId="77777777" w:rsidR="00DF27CE" w:rsidRDefault="00DF27CE" w:rsidP="00DF27CE">
      <w:pPr>
        <w:rPr>
          <w:lang w:val="en" w:eastAsia="en-GB"/>
        </w:rPr>
      </w:pPr>
      <w:r>
        <w:rPr>
          <w:lang w:val="en" w:eastAsia="en-GB"/>
        </w:rPr>
        <w:t>The Council has the power to borrow for purposes relevant to its functions and for normal treasury management purposes – for example, to refinance existing debt.</w:t>
      </w:r>
    </w:p>
    <w:p w14:paraId="2FA7E86E" w14:textId="77777777" w:rsidR="00DF27CE" w:rsidRDefault="00DF27CE" w:rsidP="00DF27CE">
      <w:pPr>
        <w:rPr>
          <w:lang w:val="en" w:eastAsia="en-GB"/>
        </w:rPr>
      </w:pPr>
    </w:p>
    <w:p w14:paraId="578C8200" w14:textId="77777777" w:rsidR="00DF27CE" w:rsidRDefault="00DF27CE" w:rsidP="00DF27CE">
      <w:pPr>
        <w:rPr>
          <w:b/>
          <w:lang w:val="en" w:eastAsia="en-GB"/>
        </w:rPr>
      </w:pPr>
      <w:r>
        <w:rPr>
          <w:b/>
          <w:lang w:val="en" w:eastAsia="en-GB"/>
        </w:rPr>
        <w:t>Control of borrowing</w:t>
      </w:r>
    </w:p>
    <w:p w14:paraId="44642320" w14:textId="77777777" w:rsidR="00DF27CE" w:rsidRDefault="00DF27CE" w:rsidP="00DF27CE">
      <w:pPr>
        <w:jc w:val="both"/>
        <w:rPr>
          <w:lang w:val="en" w:eastAsia="en-GB"/>
        </w:rPr>
      </w:pPr>
      <w:r>
        <w:rPr>
          <w:lang w:val="en" w:eastAsia="en-GB"/>
        </w:rPr>
        <w:t>The main borrowing control is the duty not to breach the prudential and national limits as described below.</w:t>
      </w:r>
    </w:p>
    <w:p w14:paraId="50A45665" w14:textId="77777777" w:rsidR="00DF27CE" w:rsidRDefault="00DF27CE" w:rsidP="00DF27CE">
      <w:pPr>
        <w:jc w:val="both"/>
        <w:rPr>
          <w:lang w:val="en" w:eastAsia="en-GB"/>
        </w:rPr>
      </w:pPr>
      <w:r>
        <w:rPr>
          <w:lang w:val="en" w:eastAsia="en-GB"/>
        </w:rPr>
        <w:t>The Council is free to seek loans from any source but is prohibited from borrowing in foreign currencies without the consent of Treasury, since adverse exchange rate movements could leave it owing more than it had borrowed.</w:t>
      </w:r>
    </w:p>
    <w:p w14:paraId="4B933D61" w14:textId="77777777" w:rsidR="00DF27CE" w:rsidRDefault="00DF27CE" w:rsidP="00DF27CE">
      <w:pPr>
        <w:jc w:val="both"/>
        <w:rPr>
          <w:lang w:val="en" w:eastAsia="en-GB"/>
        </w:rPr>
      </w:pPr>
      <w:proofErr w:type="gramStart"/>
      <w:r>
        <w:rPr>
          <w:lang w:val="en" w:eastAsia="en-GB"/>
        </w:rPr>
        <w:t>All of</w:t>
      </w:r>
      <w:proofErr w:type="gramEnd"/>
      <w:r>
        <w:rPr>
          <w:lang w:val="en" w:eastAsia="en-GB"/>
        </w:rPr>
        <w:t xml:space="preserve"> the Council’s revenues serve as security for its borrowing. The mortgaging of property is prohibited.</w:t>
      </w:r>
    </w:p>
    <w:p w14:paraId="6AA68029" w14:textId="77777777" w:rsidR="00DF27CE" w:rsidRDefault="00DF27CE" w:rsidP="00DF27CE">
      <w:pPr>
        <w:jc w:val="both"/>
        <w:rPr>
          <w:lang w:val="en" w:eastAsia="en-GB"/>
        </w:rPr>
      </w:pPr>
      <w:r>
        <w:rPr>
          <w:lang w:val="en" w:eastAsia="en-GB"/>
        </w:rPr>
        <w:t>It is unlawful for the Council to ‘</w:t>
      </w:r>
      <w:proofErr w:type="spellStart"/>
      <w:r>
        <w:rPr>
          <w:lang w:val="en" w:eastAsia="en-GB"/>
        </w:rPr>
        <w:t>securitise</w:t>
      </w:r>
      <w:proofErr w:type="spellEnd"/>
      <w:r>
        <w:rPr>
          <w:lang w:val="en" w:eastAsia="en-GB"/>
        </w:rPr>
        <w:t>’, that is, to sell future revenue streams such as housing rents for immediate lump-sums.</w:t>
      </w:r>
    </w:p>
    <w:p w14:paraId="108FA181" w14:textId="77777777" w:rsidR="00DF27CE" w:rsidRDefault="00DF27CE" w:rsidP="00DF27CE">
      <w:pPr>
        <w:rPr>
          <w:b/>
          <w:lang w:val="en" w:eastAsia="en-GB"/>
        </w:rPr>
      </w:pPr>
    </w:p>
    <w:p w14:paraId="713387F5" w14:textId="77777777" w:rsidR="00DF27CE" w:rsidRDefault="00DF27CE" w:rsidP="00DF27CE">
      <w:pPr>
        <w:rPr>
          <w:b/>
          <w:lang w:val="en" w:eastAsia="en-GB"/>
        </w:rPr>
      </w:pPr>
      <w:r>
        <w:rPr>
          <w:b/>
          <w:lang w:val="en" w:eastAsia="en-GB"/>
        </w:rPr>
        <w:t>Affordable borrowing limit</w:t>
      </w:r>
    </w:p>
    <w:p w14:paraId="60F3C7C0" w14:textId="77777777" w:rsidR="00DF27CE" w:rsidRDefault="00DF27CE" w:rsidP="00DF27CE">
      <w:pPr>
        <w:jc w:val="both"/>
        <w:rPr>
          <w:lang w:val="en" w:eastAsia="en-GB"/>
        </w:rPr>
      </w:pPr>
      <w:r>
        <w:rPr>
          <w:lang w:val="en" w:eastAsia="en-GB"/>
        </w:rPr>
        <w:t>The legislation imposes a broad duty for the Council to determine and keep under review the amount it can afford to borrow.  The Secretary of State has subsequently defined this duty in more detail through the Prudential Code produced by CIPFA, which lays down the practical rules for deciding whether borrowing is affordable.</w:t>
      </w:r>
    </w:p>
    <w:p w14:paraId="0342F36F" w14:textId="77777777" w:rsidR="00DF27CE" w:rsidRDefault="00DF27CE" w:rsidP="00DF27CE">
      <w:pPr>
        <w:jc w:val="both"/>
        <w:rPr>
          <w:lang w:val="en" w:eastAsia="en-GB"/>
        </w:rPr>
      </w:pPr>
      <w:r>
        <w:rPr>
          <w:lang w:val="en" w:eastAsia="en-GB"/>
        </w:rPr>
        <w:t xml:space="preserve">It is for the Council (at a meeting of the full Council) to set its own ‘prudential’ </w:t>
      </w:r>
      <w:proofErr w:type="spellStart"/>
      <w:r>
        <w:rPr>
          <w:lang w:val="en" w:eastAsia="en-GB"/>
        </w:rPr>
        <w:t>authorised</w:t>
      </w:r>
      <w:proofErr w:type="spellEnd"/>
      <w:r>
        <w:rPr>
          <w:lang w:val="en" w:eastAsia="en-GB"/>
        </w:rPr>
        <w:t xml:space="preserve"> limit in accordance with these rules, subject only to the scrutiny of its external auditor. The Council is then free to borrow up to that limit without Government consent. The Council is free to vary the limit during the </w:t>
      </w:r>
      <w:proofErr w:type="gramStart"/>
      <w:r>
        <w:rPr>
          <w:lang w:val="en" w:eastAsia="en-GB"/>
        </w:rPr>
        <w:t>year, if</w:t>
      </w:r>
      <w:proofErr w:type="gramEnd"/>
      <w:r>
        <w:rPr>
          <w:lang w:val="en" w:eastAsia="en-GB"/>
        </w:rPr>
        <w:t xml:space="preserve"> there is good reason. </w:t>
      </w:r>
    </w:p>
    <w:p w14:paraId="3A81A544" w14:textId="77777777" w:rsidR="00DF27CE" w:rsidRDefault="00DF27CE" w:rsidP="00DF27CE">
      <w:pPr>
        <w:jc w:val="both"/>
        <w:rPr>
          <w:lang w:val="en" w:eastAsia="en-GB"/>
        </w:rPr>
      </w:pPr>
    </w:p>
    <w:p w14:paraId="1AAE0789" w14:textId="77777777" w:rsidR="00DF27CE" w:rsidRDefault="00DF27CE" w:rsidP="00DF27CE">
      <w:pPr>
        <w:jc w:val="both"/>
        <w:rPr>
          <w:lang w:val="en" w:eastAsia="en-GB"/>
        </w:rPr>
      </w:pPr>
      <w:r>
        <w:rPr>
          <w:lang w:val="en" w:eastAsia="en-GB"/>
        </w:rPr>
        <w:t xml:space="preserve">Requirements in other legislation for the Council to balance its revenue budget prevent the long-term financing of revenue expenditure by borrowing. </w:t>
      </w:r>
    </w:p>
    <w:p w14:paraId="2163D77B" w14:textId="77777777" w:rsidR="00DF27CE" w:rsidRDefault="00DF27CE" w:rsidP="00DF27CE">
      <w:pPr>
        <w:jc w:val="both"/>
        <w:rPr>
          <w:lang w:val="en" w:eastAsia="en-GB"/>
        </w:rPr>
      </w:pPr>
      <w:proofErr w:type="gramStart"/>
      <w:r>
        <w:rPr>
          <w:lang w:val="en" w:eastAsia="en-GB"/>
        </w:rPr>
        <w:t>However</w:t>
      </w:r>
      <w:proofErr w:type="gramEnd"/>
      <w:r>
        <w:rPr>
          <w:lang w:val="en" w:eastAsia="en-GB"/>
        </w:rPr>
        <w:t xml:space="preserve"> the legislation does confer limited capacity to borrow short-term for revenue needs in the interests of cash-flow management and foreseeable requirements for temporary revenue borrowing are allowed for when borrowing limits are set by the Council.</w:t>
      </w:r>
    </w:p>
    <w:p w14:paraId="0E4E52D1" w14:textId="77777777" w:rsidR="00DF27CE" w:rsidRDefault="00DF27CE" w:rsidP="00DF27CE">
      <w:pPr>
        <w:jc w:val="both"/>
        <w:rPr>
          <w:lang w:val="en" w:eastAsia="en-GB"/>
        </w:rPr>
      </w:pPr>
    </w:p>
    <w:p w14:paraId="6DCBDA30" w14:textId="77777777" w:rsidR="00DF27CE" w:rsidRDefault="00DF27CE" w:rsidP="00DF27CE">
      <w:pPr>
        <w:jc w:val="both"/>
        <w:rPr>
          <w:lang w:val="en" w:eastAsia="en-GB"/>
        </w:rPr>
      </w:pPr>
      <w:r>
        <w:rPr>
          <w:lang w:val="en" w:eastAsia="en-GB"/>
        </w:rPr>
        <w:t>The Council is allowed extra flexibility in the event of unforeseen needs, by being allowed to increase borrowing limits by the amounts of any payments which are due in the year but have not yet been received.</w:t>
      </w:r>
    </w:p>
    <w:p w14:paraId="407E6178" w14:textId="77777777" w:rsidR="00DF27CE" w:rsidRDefault="00DF27CE" w:rsidP="00DF27CE">
      <w:pPr>
        <w:rPr>
          <w:b/>
          <w:lang w:val="en" w:eastAsia="en-GB"/>
        </w:rPr>
      </w:pPr>
    </w:p>
    <w:p w14:paraId="4B6E0026" w14:textId="77777777" w:rsidR="00DF27CE" w:rsidRDefault="00DF27CE" w:rsidP="00DF27CE">
      <w:pPr>
        <w:rPr>
          <w:b/>
          <w:lang w:val="en" w:eastAsia="en-GB"/>
        </w:rPr>
      </w:pPr>
      <w:r>
        <w:rPr>
          <w:b/>
          <w:lang w:val="en" w:eastAsia="en-GB"/>
        </w:rPr>
        <w:t>Imposition of borrowing limits</w:t>
      </w:r>
    </w:p>
    <w:p w14:paraId="56089D8D" w14:textId="77777777" w:rsidR="00DF27CE" w:rsidRDefault="00DF27CE" w:rsidP="00DF27CE">
      <w:pPr>
        <w:jc w:val="both"/>
        <w:rPr>
          <w:lang w:val="en" w:eastAsia="en-GB"/>
        </w:rPr>
      </w:pPr>
      <w:r>
        <w:rPr>
          <w:lang w:val="en" w:eastAsia="en-GB"/>
        </w:rPr>
        <w:t>The Government has retained reserve power to impose ‘longstop’ limits for national economic reasons on all local authorities’ borrowing and these would override authorities’ self-determined prudential limits. Since this power has not yet been used the potential impact on the Council is not known.</w:t>
      </w:r>
    </w:p>
    <w:p w14:paraId="23910BB5" w14:textId="77777777" w:rsidR="00DF27CE" w:rsidRDefault="00DF27CE" w:rsidP="00DF27CE">
      <w:pPr>
        <w:rPr>
          <w:lang w:val="en" w:eastAsia="en-GB"/>
        </w:rPr>
      </w:pPr>
    </w:p>
    <w:p w14:paraId="0E7ADE4C" w14:textId="77777777" w:rsidR="00DF27CE" w:rsidRDefault="00DF27CE" w:rsidP="00DF27CE">
      <w:pPr>
        <w:rPr>
          <w:b/>
          <w:lang w:val="en" w:eastAsia="en-GB"/>
        </w:rPr>
      </w:pPr>
      <w:r>
        <w:rPr>
          <w:b/>
          <w:lang w:val="en" w:eastAsia="en-GB"/>
        </w:rPr>
        <w:t>Credit arrangements</w:t>
      </w:r>
    </w:p>
    <w:p w14:paraId="1AAEBE49" w14:textId="07E4208B" w:rsidR="00DF27CE" w:rsidRDefault="00DF27CE" w:rsidP="00DF27CE">
      <w:pPr>
        <w:jc w:val="both"/>
        <w:rPr>
          <w:lang w:val="en" w:eastAsia="en-GB"/>
        </w:rPr>
      </w:pPr>
      <w:r>
        <w:rPr>
          <w:lang w:val="en" w:eastAsia="en-GB"/>
        </w:rPr>
        <w:t>Credit arrangements (</w:t>
      </w:r>
      <w:proofErr w:type="gramStart"/>
      <w:r>
        <w:rPr>
          <w:lang w:val="en" w:eastAsia="en-GB"/>
        </w:rPr>
        <w:t>e.g.</w:t>
      </w:r>
      <w:proofErr w:type="gramEnd"/>
      <w:r>
        <w:rPr>
          <w:lang w:val="en" w:eastAsia="en-GB"/>
        </w:rPr>
        <w:t xml:space="preserve"> property leasing, PFI and hire purchase) are treated like borrowing and the affordability assessment must take account not only of borrowing but also of credit arrangements. In addition, any national limit imposed under the reserve powers would apply to both borrowing and credit</w:t>
      </w:r>
      <w:r w:rsidR="00EE62CE">
        <w:rPr>
          <w:lang w:val="en" w:eastAsia="en-GB"/>
        </w:rPr>
        <w:t xml:space="preserve"> </w:t>
      </w:r>
      <w:proofErr w:type="gramStart"/>
      <w:r w:rsidR="00EE62CE">
        <w:rPr>
          <w:lang w:val="en" w:eastAsia="en-GB"/>
        </w:rPr>
        <w:t xml:space="preserve">arrangements </w:t>
      </w:r>
      <w:r>
        <w:rPr>
          <w:lang w:val="en" w:eastAsia="en-GB"/>
        </w:rPr>
        <w:t>.</w:t>
      </w:r>
      <w:proofErr w:type="gramEnd"/>
    </w:p>
    <w:p w14:paraId="3CC6C498" w14:textId="77777777" w:rsidR="00DF27CE" w:rsidRDefault="00DF27CE" w:rsidP="00DF27CE">
      <w:pPr>
        <w:rPr>
          <w:lang w:val="en" w:eastAsia="en-GB"/>
        </w:rPr>
      </w:pPr>
    </w:p>
    <w:p w14:paraId="3070DF66" w14:textId="77777777" w:rsidR="00DF27CE" w:rsidRDefault="00DF27CE" w:rsidP="00DF27CE">
      <w:pPr>
        <w:rPr>
          <w:b/>
          <w:lang w:val="en" w:eastAsia="en-GB"/>
        </w:rPr>
      </w:pPr>
      <w:r>
        <w:rPr>
          <w:b/>
          <w:lang w:val="en" w:eastAsia="en-GB"/>
        </w:rPr>
        <w:t xml:space="preserve">Power to </w:t>
      </w:r>
      <w:proofErr w:type="gramStart"/>
      <w:r>
        <w:rPr>
          <w:b/>
          <w:lang w:val="en" w:eastAsia="en-GB"/>
        </w:rPr>
        <w:t>invest</w:t>
      </w:r>
      <w:proofErr w:type="gramEnd"/>
    </w:p>
    <w:p w14:paraId="75372045" w14:textId="77777777" w:rsidR="00DF27CE" w:rsidRDefault="00DF27CE" w:rsidP="00DF27CE">
      <w:pPr>
        <w:jc w:val="both"/>
        <w:rPr>
          <w:lang w:val="en" w:eastAsia="en-GB"/>
        </w:rPr>
      </w:pPr>
      <w:r>
        <w:rPr>
          <w:lang w:val="en" w:eastAsia="en-GB"/>
        </w:rPr>
        <w:t>The Council has the power to invest, not only for any purpose relevant to its functions but also for the purpose of the prudential management of its financial affairs.</w:t>
      </w:r>
    </w:p>
    <w:p w14:paraId="5EDDFD90" w14:textId="77777777" w:rsidR="00DF27CE" w:rsidRDefault="00DF27CE" w:rsidP="00DF27CE">
      <w:pPr>
        <w:jc w:val="both"/>
        <w:rPr>
          <w:lang w:val="en" w:eastAsia="en-GB"/>
        </w:rPr>
      </w:pPr>
    </w:p>
    <w:p w14:paraId="055558F4" w14:textId="77777777" w:rsidR="00DF27CE" w:rsidRDefault="00DF27CE" w:rsidP="00DF27CE">
      <w:pPr>
        <w:rPr>
          <w:b/>
          <w:lang w:val="en" w:eastAsia="en-GB"/>
        </w:rPr>
      </w:pPr>
      <w:r>
        <w:rPr>
          <w:b/>
          <w:lang w:val="en" w:eastAsia="en-GB"/>
        </w:rPr>
        <w:t xml:space="preserve">Guidance </w:t>
      </w:r>
    </w:p>
    <w:p w14:paraId="364241BD" w14:textId="77777777" w:rsidR="00DF27CE" w:rsidRDefault="00DF27CE" w:rsidP="00DF27CE">
      <w:pPr>
        <w:rPr>
          <w:bCs/>
          <w:lang w:val="en" w:eastAsia="en-GB"/>
        </w:rPr>
      </w:pPr>
      <w:r>
        <w:rPr>
          <w:bCs/>
          <w:lang w:val="en" w:eastAsia="en-GB"/>
        </w:rPr>
        <w:t>The Act contains a requirement for the Council to have regard to guidance:</w:t>
      </w:r>
    </w:p>
    <w:p w14:paraId="26E0B2DF" w14:textId="77777777" w:rsidR="00DF27CE" w:rsidRPr="00C7122D" w:rsidRDefault="00DF27CE" w:rsidP="00C7122D">
      <w:pPr>
        <w:pStyle w:val="ListParagraph"/>
        <w:numPr>
          <w:ilvl w:val="0"/>
          <w:numId w:val="1"/>
        </w:numPr>
        <w:tabs>
          <w:tab w:val="num" w:pos="709"/>
        </w:tabs>
        <w:autoSpaceDE w:val="0"/>
        <w:autoSpaceDN w:val="0"/>
        <w:adjustRightInd w:val="0"/>
        <w:jc w:val="both"/>
        <w:rPr>
          <w:rFonts w:cs="Arial"/>
          <w:szCs w:val="24"/>
          <w:lang w:eastAsia="en-GB"/>
        </w:rPr>
      </w:pPr>
      <w:r w:rsidRPr="00C7122D">
        <w:rPr>
          <w:rFonts w:cs="Arial"/>
          <w:szCs w:val="24"/>
          <w:lang w:eastAsia="en-GB"/>
        </w:rPr>
        <w:t>Issued directly by the Secretary of State</w:t>
      </w:r>
    </w:p>
    <w:p w14:paraId="153AEC3B" w14:textId="4B795C3C" w:rsidR="00DF27CE" w:rsidRPr="00C7122D" w:rsidRDefault="00DF27CE" w:rsidP="00C7122D">
      <w:pPr>
        <w:pStyle w:val="ListParagraph"/>
        <w:numPr>
          <w:ilvl w:val="0"/>
          <w:numId w:val="1"/>
        </w:numPr>
        <w:tabs>
          <w:tab w:val="num" w:pos="709"/>
        </w:tabs>
        <w:autoSpaceDE w:val="0"/>
        <w:autoSpaceDN w:val="0"/>
        <w:adjustRightInd w:val="0"/>
        <w:jc w:val="both"/>
        <w:rPr>
          <w:rFonts w:cs="Arial"/>
          <w:szCs w:val="24"/>
          <w:lang w:eastAsia="en-GB"/>
        </w:rPr>
      </w:pPr>
      <w:r w:rsidRPr="00C7122D">
        <w:rPr>
          <w:rFonts w:cs="Arial"/>
          <w:szCs w:val="24"/>
          <w:lang w:eastAsia="en-GB"/>
        </w:rPr>
        <w:t>DLUHC (formally MHCLG) Investment Guidance</w:t>
      </w:r>
    </w:p>
    <w:p w14:paraId="10855766" w14:textId="6384766B" w:rsidR="00DF27CE" w:rsidRPr="00C7122D" w:rsidRDefault="00DF27CE" w:rsidP="00C7122D">
      <w:pPr>
        <w:pStyle w:val="ListParagraph"/>
        <w:numPr>
          <w:ilvl w:val="0"/>
          <w:numId w:val="1"/>
        </w:numPr>
        <w:tabs>
          <w:tab w:val="num" w:pos="709"/>
        </w:tabs>
        <w:autoSpaceDE w:val="0"/>
        <w:autoSpaceDN w:val="0"/>
        <w:adjustRightInd w:val="0"/>
        <w:jc w:val="both"/>
        <w:rPr>
          <w:rFonts w:cs="Arial"/>
          <w:szCs w:val="24"/>
          <w:lang w:eastAsia="en-GB"/>
        </w:rPr>
      </w:pPr>
      <w:r w:rsidRPr="00C7122D">
        <w:rPr>
          <w:rFonts w:cs="Arial"/>
          <w:szCs w:val="24"/>
          <w:lang w:eastAsia="en-GB"/>
        </w:rPr>
        <w:t>DLUHC (formally MHCLG) MRP Guidance</w:t>
      </w:r>
    </w:p>
    <w:p w14:paraId="66768DDD" w14:textId="77777777" w:rsidR="00DF27CE" w:rsidRPr="00C7122D" w:rsidRDefault="00DF27CE" w:rsidP="00C7122D">
      <w:pPr>
        <w:pStyle w:val="ListParagraph"/>
        <w:numPr>
          <w:ilvl w:val="0"/>
          <w:numId w:val="1"/>
        </w:numPr>
        <w:tabs>
          <w:tab w:val="num" w:pos="709"/>
        </w:tabs>
        <w:autoSpaceDE w:val="0"/>
        <w:autoSpaceDN w:val="0"/>
        <w:adjustRightInd w:val="0"/>
        <w:jc w:val="both"/>
        <w:rPr>
          <w:rFonts w:cs="Arial"/>
          <w:szCs w:val="24"/>
          <w:lang w:eastAsia="en-GB"/>
        </w:rPr>
      </w:pPr>
      <w:r w:rsidRPr="00C7122D">
        <w:rPr>
          <w:rFonts w:cs="Arial"/>
          <w:szCs w:val="24"/>
          <w:lang w:eastAsia="en-GB"/>
        </w:rPr>
        <w:t xml:space="preserve">Other guidance the Secretary of State may refer to through </w:t>
      </w:r>
      <w:proofErr w:type="gramStart"/>
      <w:r w:rsidRPr="00C7122D">
        <w:rPr>
          <w:rFonts w:cs="Arial"/>
          <w:szCs w:val="24"/>
          <w:lang w:eastAsia="en-GB"/>
        </w:rPr>
        <w:t>regulations</w:t>
      </w:r>
      <w:proofErr w:type="gramEnd"/>
    </w:p>
    <w:p w14:paraId="6D2D3EC2" w14:textId="77777777" w:rsidR="00DF27CE" w:rsidRPr="00C7122D" w:rsidRDefault="00DF27CE" w:rsidP="00C7122D">
      <w:pPr>
        <w:pStyle w:val="ListParagraph"/>
        <w:numPr>
          <w:ilvl w:val="0"/>
          <w:numId w:val="1"/>
        </w:numPr>
        <w:tabs>
          <w:tab w:val="num" w:pos="709"/>
        </w:tabs>
        <w:autoSpaceDE w:val="0"/>
        <w:autoSpaceDN w:val="0"/>
        <w:adjustRightInd w:val="0"/>
        <w:jc w:val="both"/>
        <w:rPr>
          <w:rFonts w:cs="Arial"/>
          <w:szCs w:val="24"/>
          <w:lang w:eastAsia="en-GB"/>
        </w:rPr>
      </w:pPr>
      <w:r w:rsidRPr="00C7122D">
        <w:rPr>
          <w:rFonts w:cs="Arial"/>
          <w:szCs w:val="24"/>
          <w:lang w:eastAsia="en-GB"/>
        </w:rPr>
        <w:t>The Local Authorities (Capital Finance and Accounting) (England) Regulations 2003</w:t>
      </w:r>
    </w:p>
    <w:p w14:paraId="7BCD92C2" w14:textId="77777777" w:rsidR="00DF27CE" w:rsidRPr="00C7122D" w:rsidRDefault="00DF27CE" w:rsidP="00C7122D">
      <w:pPr>
        <w:pStyle w:val="ListParagraph"/>
        <w:numPr>
          <w:ilvl w:val="0"/>
          <w:numId w:val="1"/>
        </w:numPr>
        <w:tabs>
          <w:tab w:val="num" w:pos="709"/>
        </w:tabs>
        <w:autoSpaceDE w:val="0"/>
        <w:autoSpaceDN w:val="0"/>
        <w:adjustRightInd w:val="0"/>
        <w:jc w:val="both"/>
        <w:rPr>
          <w:rFonts w:cs="Arial"/>
          <w:szCs w:val="24"/>
          <w:lang w:eastAsia="en-GB"/>
        </w:rPr>
      </w:pPr>
      <w:r w:rsidRPr="00C7122D">
        <w:rPr>
          <w:rFonts w:cs="Arial"/>
          <w:szCs w:val="24"/>
          <w:lang w:eastAsia="en-GB"/>
        </w:rPr>
        <w:t>CIPFA Prudential Code</w:t>
      </w:r>
    </w:p>
    <w:p w14:paraId="1884071A" w14:textId="77777777" w:rsidR="00DF27CE" w:rsidRPr="00C7122D" w:rsidRDefault="00DF27CE" w:rsidP="00C7122D">
      <w:pPr>
        <w:pStyle w:val="ListParagraph"/>
        <w:numPr>
          <w:ilvl w:val="0"/>
          <w:numId w:val="1"/>
        </w:numPr>
        <w:tabs>
          <w:tab w:val="num" w:pos="709"/>
        </w:tabs>
        <w:autoSpaceDE w:val="0"/>
        <w:autoSpaceDN w:val="0"/>
        <w:adjustRightInd w:val="0"/>
        <w:jc w:val="both"/>
        <w:rPr>
          <w:rFonts w:cs="Arial"/>
          <w:szCs w:val="24"/>
          <w:lang w:eastAsia="en-GB"/>
        </w:rPr>
      </w:pPr>
      <w:r w:rsidRPr="00C7122D">
        <w:rPr>
          <w:rFonts w:cs="Arial"/>
          <w:szCs w:val="24"/>
          <w:lang w:eastAsia="en-GB"/>
        </w:rPr>
        <w:t>CIPFA Treasury Management Code of Practice</w:t>
      </w:r>
    </w:p>
    <w:p w14:paraId="1C113635" w14:textId="77777777" w:rsidR="00DF27CE" w:rsidRDefault="00DF27CE" w:rsidP="00DF27CE">
      <w:pPr>
        <w:pStyle w:val="ListParagraph"/>
        <w:ind w:left="1440"/>
        <w:rPr>
          <w:bCs/>
          <w:lang w:val="en" w:eastAsia="en-GB"/>
        </w:rPr>
      </w:pPr>
    </w:p>
    <w:p w14:paraId="5B5946D9" w14:textId="77777777" w:rsidR="00DF27CE" w:rsidRPr="00C7122D" w:rsidRDefault="00DF27CE" w:rsidP="00C7122D">
      <w:pPr>
        <w:rPr>
          <w:b/>
          <w:sz w:val="28"/>
          <w:u w:val="single"/>
        </w:rPr>
      </w:pPr>
      <w:r w:rsidRPr="00C7122D">
        <w:rPr>
          <w:b/>
          <w:sz w:val="28"/>
          <w:u w:val="single"/>
        </w:rPr>
        <w:t>Ministry of Housing, Communities and Local Government Investment Guidance (2018)</w:t>
      </w:r>
    </w:p>
    <w:p w14:paraId="0AFFEA7F" w14:textId="77777777" w:rsidR="00DF27CE" w:rsidRDefault="00DF27CE" w:rsidP="00DF27CE">
      <w:pPr>
        <w:rPr>
          <w:b/>
          <w:sz w:val="28"/>
          <w:u w:val="single"/>
        </w:rPr>
      </w:pPr>
    </w:p>
    <w:p w14:paraId="16D3C0B0" w14:textId="77777777" w:rsidR="00DF27CE" w:rsidRDefault="00DF27CE" w:rsidP="00DF27CE">
      <w:pPr>
        <w:shd w:val="clear" w:color="auto" w:fill="FFFFFF"/>
        <w:spacing w:line="288" w:lineRule="atLeast"/>
        <w:jc w:val="both"/>
        <w:outlineLvl w:val="5"/>
        <w:rPr>
          <w:rFonts w:cs="Arial"/>
          <w:color w:val="000000"/>
          <w:szCs w:val="24"/>
          <w:lang w:val="en" w:eastAsia="en-GB"/>
        </w:rPr>
      </w:pPr>
      <w:r>
        <w:rPr>
          <w:rFonts w:cs="Arial"/>
          <w:color w:val="000000"/>
          <w:szCs w:val="24"/>
          <w:lang w:val="en" w:eastAsia="en-GB"/>
        </w:rPr>
        <w:t>The Guidance recommends that for each financial year the Council should prepare at least one Investment Strategy to be approved before the start of the year. The Strategy must cover:</w:t>
      </w:r>
    </w:p>
    <w:p w14:paraId="5493DC67" w14:textId="77777777" w:rsidR="00DF27CE" w:rsidRDefault="00DF27CE" w:rsidP="00DF27CE">
      <w:pPr>
        <w:shd w:val="clear" w:color="auto" w:fill="FFFFFF"/>
        <w:spacing w:line="288" w:lineRule="atLeast"/>
        <w:outlineLvl w:val="5"/>
        <w:rPr>
          <w:rFonts w:cs="Arial"/>
          <w:color w:val="000000"/>
          <w:szCs w:val="24"/>
          <w:lang w:val="en" w:eastAsia="en-GB"/>
        </w:rPr>
      </w:pPr>
    </w:p>
    <w:p w14:paraId="477B4BA9" w14:textId="77777777" w:rsidR="00DF27CE" w:rsidRDefault="00DF27CE" w:rsidP="00C7122D">
      <w:pPr>
        <w:shd w:val="clear" w:color="auto" w:fill="FFFFFF"/>
        <w:tabs>
          <w:tab w:val="num" w:pos="993"/>
        </w:tabs>
        <w:spacing w:line="288" w:lineRule="atLeast"/>
        <w:outlineLvl w:val="5"/>
        <w:rPr>
          <w:rFonts w:cs="Arial"/>
          <w:b/>
          <w:color w:val="000000"/>
          <w:szCs w:val="24"/>
          <w:lang w:val="en" w:eastAsia="en-GB"/>
        </w:rPr>
      </w:pPr>
      <w:r>
        <w:rPr>
          <w:rFonts w:cs="Arial"/>
          <w:b/>
          <w:color w:val="000000"/>
          <w:szCs w:val="24"/>
          <w:lang w:val="en" w:eastAsia="en-GB"/>
        </w:rPr>
        <w:t xml:space="preserve">Investment security  </w:t>
      </w:r>
    </w:p>
    <w:p w14:paraId="3E5EC501" w14:textId="77777777" w:rsidR="00DF27CE" w:rsidRPr="00C7122D" w:rsidRDefault="00DF27CE" w:rsidP="00C7122D">
      <w:pPr>
        <w:pStyle w:val="ListParagraph"/>
        <w:numPr>
          <w:ilvl w:val="0"/>
          <w:numId w:val="1"/>
        </w:numPr>
        <w:tabs>
          <w:tab w:val="num" w:pos="709"/>
        </w:tabs>
        <w:autoSpaceDE w:val="0"/>
        <w:autoSpaceDN w:val="0"/>
        <w:adjustRightInd w:val="0"/>
        <w:jc w:val="both"/>
        <w:rPr>
          <w:rFonts w:cs="Arial"/>
          <w:szCs w:val="24"/>
          <w:lang w:eastAsia="en-GB"/>
        </w:rPr>
      </w:pPr>
      <w:r w:rsidRPr="00C7122D">
        <w:rPr>
          <w:rFonts w:cs="Arial"/>
          <w:szCs w:val="24"/>
          <w:lang w:eastAsia="en-GB"/>
        </w:rPr>
        <w:t xml:space="preserve">Investments should be managed prudently with security and liquidity being considered ahead of </w:t>
      </w:r>
      <w:proofErr w:type="gramStart"/>
      <w:r w:rsidRPr="00C7122D">
        <w:rPr>
          <w:rFonts w:cs="Arial"/>
          <w:szCs w:val="24"/>
          <w:lang w:eastAsia="en-GB"/>
        </w:rPr>
        <w:t>yield</w:t>
      </w:r>
      <w:proofErr w:type="gramEnd"/>
      <w:r w:rsidRPr="00C7122D">
        <w:rPr>
          <w:rFonts w:cs="Arial"/>
          <w:szCs w:val="24"/>
          <w:lang w:eastAsia="en-GB"/>
        </w:rPr>
        <w:t xml:space="preserve"> </w:t>
      </w:r>
    </w:p>
    <w:p w14:paraId="54B88284" w14:textId="77777777" w:rsidR="00DF27CE" w:rsidRPr="00C7122D" w:rsidRDefault="00DF27CE" w:rsidP="00C7122D">
      <w:pPr>
        <w:pStyle w:val="ListParagraph"/>
        <w:numPr>
          <w:ilvl w:val="0"/>
          <w:numId w:val="1"/>
        </w:numPr>
        <w:tabs>
          <w:tab w:val="num" w:pos="709"/>
        </w:tabs>
        <w:autoSpaceDE w:val="0"/>
        <w:autoSpaceDN w:val="0"/>
        <w:adjustRightInd w:val="0"/>
        <w:jc w:val="both"/>
        <w:rPr>
          <w:rFonts w:cs="Arial"/>
          <w:szCs w:val="24"/>
          <w:lang w:eastAsia="en-GB"/>
        </w:rPr>
      </w:pPr>
      <w:r w:rsidRPr="00C7122D">
        <w:rPr>
          <w:rFonts w:cs="Arial"/>
          <w:szCs w:val="24"/>
          <w:lang w:eastAsia="en-GB"/>
        </w:rPr>
        <w:lastRenderedPageBreak/>
        <w:t xml:space="preserve">Potential counterparties should be recognised as “specified” and “non-specified” with investment limits being defined to reflect the status of each </w:t>
      </w:r>
      <w:proofErr w:type="gramStart"/>
      <w:r w:rsidRPr="00C7122D">
        <w:rPr>
          <w:rFonts w:cs="Arial"/>
          <w:szCs w:val="24"/>
          <w:lang w:eastAsia="en-GB"/>
        </w:rPr>
        <w:t>counterparty</w:t>
      </w:r>
      <w:proofErr w:type="gramEnd"/>
    </w:p>
    <w:p w14:paraId="4573E2E9" w14:textId="77777777" w:rsidR="00DF27CE" w:rsidRDefault="00DF27CE" w:rsidP="00DF27CE">
      <w:pPr>
        <w:shd w:val="clear" w:color="auto" w:fill="FFFFFF"/>
        <w:spacing w:line="288" w:lineRule="atLeast"/>
        <w:ind w:left="1309"/>
        <w:jc w:val="both"/>
        <w:outlineLvl w:val="5"/>
        <w:rPr>
          <w:rFonts w:cs="Arial"/>
          <w:color w:val="000000"/>
          <w:szCs w:val="24"/>
          <w:lang w:val="en" w:eastAsia="en-GB"/>
        </w:rPr>
      </w:pPr>
    </w:p>
    <w:p w14:paraId="09D4E023" w14:textId="77777777" w:rsidR="00DF27CE" w:rsidRDefault="00DF27CE" w:rsidP="00DF27CE">
      <w:pPr>
        <w:shd w:val="clear" w:color="auto" w:fill="FFFFFF"/>
        <w:spacing w:line="288" w:lineRule="atLeast"/>
        <w:ind w:left="1309"/>
        <w:jc w:val="both"/>
        <w:outlineLvl w:val="5"/>
        <w:rPr>
          <w:rFonts w:cs="Arial"/>
          <w:color w:val="000000"/>
          <w:szCs w:val="24"/>
          <w:lang w:val="en" w:eastAsia="en-GB"/>
        </w:rPr>
      </w:pPr>
    </w:p>
    <w:p w14:paraId="46A749E0" w14:textId="77777777" w:rsidR="00DF27CE" w:rsidRDefault="00DF27CE" w:rsidP="00C7122D">
      <w:pPr>
        <w:shd w:val="clear" w:color="auto" w:fill="FFFFFF"/>
        <w:tabs>
          <w:tab w:val="num" w:pos="993"/>
        </w:tabs>
        <w:spacing w:line="288" w:lineRule="atLeast"/>
        <w:outlineLvl w:val="5"/>
        <w:rPr>
          <w:rFonts w:cs="Arial"/>
          <w:b/>
          <w:color w:val="000000"/>
          <w:szCs w:val="24"/>
          <w:lang w:val="en" w:eastAsia="en-GB"/>
        </w:rPr>
      </w:pPr>
      <w:r>
        <w:rPr>
          <w:rFonts w:cs="Arial"/>
          <w:b/>
          <w:color w:val="000000"/>
          <w:szCs w:val="24"/>
          <w:lang w:val="en" w:eastAsia="en-GB"/>
        </w:rPr>
        <w:t>Investment risk</w:t>
      </w:r>
    </w:p>
    <w:p w14:paraId="4DE9587B" w14:textId="77777777" w:rsidR="00DF27CE" w:rsidRPr="00C7122D" w:rsidRDefault="00DF27CE" w:rsidP="00C7122D">
      <w:pPr>
        <w:pStyle w:val="ListParagraph"/>
        <w:numPr>
          <w:ilvl w:val="0"/>
          <w:numId w:val="1"/>
        </w:numPr>
        <w:tabs>
          <w:tab w:val="num" w:pos="709"/>
        </w:tabs>
        <w:autoSpaceDE w:val="0"/>
        <w:autoSpaceDN w:val="0"/>
        <w:adjustRightInd w:val="0"/>
        <w:jc w:val="both"/>
        <w:rPr>
          <w:rFonts w:cs="Arial"/>
          <w:szCs w:val="24"/>
          <w:lang w:eastAsia="en-GB"/>
        </w:rPr>
      </w:pPr>
      <w:r w:rsidRPr="00C7122D">
        <w:rPr>
          <w:rFonts w:cs="Arial"/>
          <w:szCs w:val="24"/>
          <w:lang w:eastAsia="en-GB"/>
        </w:rPr>
        <w:t xml:space="preserve">Procedures should be established for monitoring, </w:t>
      </w:r>
      <w:proofErr w:type="gramStart"/>
      <w:r w:rsidRPr="00C7122D">
        <w:rPr>
          <w:rFonts w:cs="Arial"/>
          <w:szCs w:val="24"/>
          <w:lang w:eastAsia="en-GB"/>
        </w:rPr>
        <w:t>assessing</w:t>
      </w:r>
      <w:proofErr w:type="gramEnd"/>
      <w:r w:rsidRPr="00C7122D">
        <w:rPr>
          <w:rFonts w:cs="Arial"/>
          <w:szCs w:val="24"/>
          <w:lang w:eastAsia="en-GB"/>
        </w:rPr>
        <w:t xml:space="preserve"> and mitigating the risk of loss of invested sums and for ensuring that such sums are readily accessible for expenditure whenever needed.</w:t>
      </w:r>
    </w:p>
    <w:p w14:paraId="0BF4580E" w14:textId="77777777" w:rsidR="00DF27CE" w:rsidRPr="00C7122D" w:rsidRDefault="00DF27CE" w:rsidP="00C7122D">
      <w:pPr>
        <w:pStyle w:val="ListParagraph"/>
        <w:numPr>
          <w:ilvl w:val="0"/>
          <w:numId w:val="1"/>
        </w:numPr>
        <w:tabs>
          <w:tab w:val="num" w:pos="709"/>
        </w:tabs>
        <w:autoSpaceDE w:val="0"/>
        <w:autoSpaceDN w:val="0"/>
        <w:adjustRightInd w:val="0"/>
        <w:jc w:val="both"/>
        <w:rPr>
          <w:rFonts w:cs="Arial"/>
          <w:szCs w:val="24"/>
          <w:lang w:eastAsia="en-GB"/>
        </w:rPr>
      </w:pPr>
      <w:r w:rsidRPr="00C7122D">
        <w:rPr>
          <w:rFonts w:cs="Arial"/>
          <w:szCs w:val="24"/>
          <w:lang w:eastAsia="en-GB"/>
        </w:rPr>
        <w:t xml:space="preserve">The use of credit ratings and other risk assessment processes should be </w:t>
      </w:r>
      <w:proofErr w:type="gramStart"/>
      <w:r w:rsidRPr="00C7122D">
        <w:rPr>
          <w:rFonts w:cs="Arial"/>
          <w:szCs w:val="24"/>
          <w:lang w:eastAsia="en-GB"/>
        </w:rPr>
        <w:t>explained</w:t>
      </w:r>
      <w:proofErr w:type="gramEnd"/>
    </w:p>
    <w:p w14:paraId="37E2BDBE" w14:textId="77777777" w:rsidR="00DF27CE" w:rsidRPr="00C7122D" w:rsidRDefault="00DF27CE" w:rsidP="00C7122D">
      <w:pPr>
        <w:pStyle w:val="ListParagraph"/>
        <w:numPr>
          <w:ilvl w:val="0"/>
          <w:numId w:val="1"/>
        </w:numPr>
        <w:tabs>
          <w:tab w:val="num" w:pos="709"/>
        </w:tabs>
        <w:autoSpaceDE w:val="0"/>
        <w:autoSpaceDN w:val="0"/>
        <w:adjustRightInd w:val="0"/>
        <w:jc w:val="both"/>
        <w:rPr>
          <w:rFonts w:cs="Arial"/>
          <w:szCs w:val="24"/>
          <w:lang w:eastAsia="en-GB"/>
        </w:rPr>
      </w:pPr>
      <w:r w:rsidRPr="00C7122D">
        <w:rPr>
          <w:rFonts w:cs="Arial"/>
          <w:szCs w:val="24"/>
          <w:lang w:eastAsia="en-GB"/>
        </w:rPr>
        <w:t xml:space="preserve">The use of external advisers should be monitored. The training requirements for treasury management staff should be reviewed and </w:t>
      </w:r>
      <w:proofErr w:type="gramStart"/>
      <w:r w:rsidRPr="00C7122D">
        <w:rPr>
          <w:rFonts w:cs="Arial"/>
          <w:szCs w:val="24"/>
          <w:lang w:eastAsia="en-GB"/>
        </w:rPr>
        <w:t>addressed</w:t>
      </w:r>
      <w:proofErr w:type="gramEnd"/>
    </w:p>
    <w:p w14:paraId="109605C2" w14:textId="77777777" w:rsidR="00DF27CE" w:rsidRPr="00C7122D" w:rsidRDefault="00DF27CE" w:rsidP="00C7122D">
      <w:pPr>
        <w:pStyle w:val="ListParagraph"/>
        <w:numPr>
          <w:ilvl w:val="0"/>
          <w:numId w:val="1"/>
        </w:numPr>
        <w:tabs>
          <w:tab w:val="num" w:pos="709"/>
        </w:tabs>
        <w:autoSpaceDE w:val="0"/>
        <w:autoSpaceDN w:val="0"/>
        <w:adjustRightInd w:val="0"/>
        <w:jc w:val="both"/>
        <w:rPr>
          <w:rFonts w:cs="Arial"/>
          <w:szCs w:val="24"/>
          <w:lang w:eastAsia="en-GB"/>
        </w:rPr>
      </w:pPr>
      <w:r w:rsidRPr="00C7122D">
        <w:rPr>
          <w:rFonts w:cs="Arial"/>
          <w:szCs w:val="24"/>
          <w:lang w:eastAsia="en-GB"/>
        </w:rPr>
        <w:t>Specific policies should be stated as regards borrowing money in advance of need</w:t>
      </w:r>
    </w:p>
    <w:p w14:paraId="66678DE2" w14:textId="77777777" w:rsidR="00DF27CE" w:rsidRDefault="00DF27CE" w:rsidP="00DF27CE">
      <w:pPr>
        <w:shd w:val="clear" w:color="auto" w:fill="FFFFFF"/>
        <w:spacing w:line="288" w:lineRule="atLeast"/>
        <w:ind w:left="567"/>
        <w:outlineLvl w:val="5"/>
        <w:rPr>
          <w:rFonts w:cs="Arial"/>
          <w:color w:val="000000"/>
          <w:szCs w:val="24"/>
          <w:lang w:val="en" w:eastAsia="en-GB"/>
        </w:rPr>
      </w:pPr>
    </w:p>
    <w:p w14:paraId="2DBB0FF6" w14:textId="77777777" w:rsidR="00DF27CE" w:rsidRDefault="00DF27CE" w:rsidP="00C7122D">
      <w:pPr>
        <w:shd w:val="clear" w:color="auto" w:fill="FFFFFF"/>
        <w:tabs>
          <w:tab w:val="num" w:pos="993"/>
        </w:tabs>
        <w:spacing w:line="288" w:lineRule="atLeast"/>
        <w:outlineLvl w:val="5"/>
        <w:rPr>
          <w:rFonts w:cs="Arial"/>
          <w:b/>
          <w:color w:val="000000"/>
          <w:szCs w:val="24"/>
          <w:lang w:val="en" w:eastAsia="en-GB"/>
        </w:rPr>
      </w:pPr>
      <w:r>
        <w:rPr>
          <w:rFonts w:cs="Arial"/>
          <w:b/>
          <w:color w:val="000000"/>
          <w:szCs w:val="24"/>
          <w:lang w:val="en" w:eastAsia="en-GB"/>
        </w:rPr>
        <w:t>Investment Liquidity</w:t>
      </w:r>
    </w:p>
    <w:p w14:paraId="102BE5D6" w14:textId="77777777" w:rsidR="00DF27CE" w:rsidRPr="00C7122D" w:rsidRDefault="00DF27CE" w:rsidP="00C7122D">
      <w:pPr>
        <w:pStyle w:val="ListParagraph"/>
        <w:numPr>
          <w:ilvl w:val="0"/>
          <w:numId w:val="1"/>
        </w:numPr>
        <w:tabs>
          <w:tab w:val="num" w:pos="709"/>
        </w:tabs>
        <w:autoSpaceDE w:val="0"/>
        <w:autoSpaceDN w:val="0"/>
        <w:adjustRightInd w:val="0"/>
        <w:jc w:val="both"/>
        <w:rPr>
          <w:rFonts w:cs="Arial"/>
          <w:szCs w:val="24"/>
          <w:lang w:eastAsia="en-GB"/>
        </w:rPr>
      </w:pPr>
      <w:r w:rsidRPr="00C7122D">
        <w:rPr>
          <w:rFonts w:cs="Arial"/>
          <w:szCs w:val="24"/>
          <w:lang w:eastAsia="en-GB"/>
        </w:rPr>
        <w:t xml:space="preserve">The Strategy should set out procedures for determining the maximum periods for which funds may prudently be </w:t>
      </w:r>
      <w:proofErr w:type="gramStart"/>
      <w:r w:rsidRPr="00C7122D">
        <w:rPr>
          <w:rFonts w:cs="Arial"/>
          <w:szCs w:val="24"/>
          <w:lang w:eastAsia="en-GB"/>
        </w:rPr>
        <w:t>committed</w:t>
      </w:r>
      <w:proofErr w:type="gramEnd"/>
    </w:p>
    <w:p w14:paraId="7F1CEC53" w14:textId="77777777" w:rsidR="00DF27CE" w:rsidRDefault="00DF27CE" w:rsidP="00DF27CE">
      <w:pPr>
        <w:shd w:val="clear" w:color="auto" w:fill="FFFFFF"/>
        <w:spacing w:line="288" w:lineRule="atLeast"/>
        <w:ind w:left="709"/>
        <w:outlineLvl w:val="5"/>
        <w:rPr>
          <w:rFonts w:cs="Arial"/>
          <w:color w:val="000000"/>
          <w:szCs w:val="24"/>
          <w:lang w:val="en" w:eastAsia="en-GB"/>
        </w:rPr>
      </w:pPr>
    </w:p>
    <w:p w14:paraId="13A32517" w14:textId="77777777" w:rsidR="00DF27CE" w:rsidRDefault="00DF27CE" w:rsidP="00DF27CE">
      <w:pPr>
        <w:shd w:val="clear" w:color="auto" w:fill="FFFFFF"/>
        <w:spacing w:line="288" w:lineRule="atLeast"/>
        <w:outlineLvl w:val="5"/>
        <w:rPr>
          <w:rFonts w:cs="Arial"/>
          <w:color w:val="000000"/>
          <w:szCs w:val="24"/>
          <w:lang w:val="en" w:eastAsia="en-GB"/>
        </w:rPr>
      </w:pPr>
      <w:r>
        <w:rPr>
          <w:rFonts w:cs="Arial"/>
          <w:color w:val="000000"/>
          <w:szCs w:val="24"/>
          <w:lang w:val="en" w:eastAsia="en-GB"/>
        </w:rPr>
        <w:t>The Strategy should be approved by the full Council and made available to the public free of charge. Subject to full Council approval, or approved delegations, the Strategy can be revised during the year.</w:t>
      </w:r>
    </w:p>
    <w:p w14:paraId="74D29D6C" w14:textId="77777777" w:rsidR="00DF27CE" w:rsidRDefault="00DF27CE" w:rsidP="00DF27CE">
      <w:pPr>
        <w:shd w:val="clear" w:color="auto" w:fill="FFFFFF"/>
        <w:spacing w:line="288" w:lineRule="atLeast"/>
        <w:outlineLvl w:val="5"/>
        <w:rPr>
          <w:rFonts w:cs="Arial"/>
          <w:color w:val="000000"/>
          <w:szCs w:val="24"/>
          <w:lang w:val="en" w:eastAsia="en-GB"/>
        </w:rPr>
      </w:pPr>
    </w:p>
    <w:p w14:paraId="4EEE2FAB" w14:textId="77777777" w:rsidR="00DF27CE" w:rsidRPr="00C7122D" w:rsidRDefault="00DF27CE" w:rsidP="00C7122D">
      <w:pPr>
        <w:rPr>
          <w:b/>
          <w:sz w:val="28"/>
          <w:u w:val="single"/>
        </w:rPr>
      </w:pPr>
      <w:r w:rsidRPr="00C7122D">
        <w:rPr>
          <w:b/>
          <w:sz w:val="28"/>
          <w:u w:val="single"/>
        </w:rPr>
        <w:t>Ministry of Housing, Communities and Local Government Minimum Revenue Provision Guidance (2018)</w:t>
      </w:r>
    </w:p>
    <w:p w14:paraId="22A7A1A4" w14:textId="77777777" w:rsidR="00DF27CE" w:rsidRDefault="00DF27CE" w:rsidP="00DF27CE">
      <w:pPr>
        <w:jc w:val="both"/>
        <w:rPr>
          <w:b/>
          <w:sz w:val="28"/>
          <w:szCs w:val="28"/>
          <w:u w:val="single"/>
        </w:rPr>
      </w:pPr>
    </w:p>
    <w:p w14:paraId="13F0E759" w14:textId="77777777" w:rsidR="00DF27CE" w:rsidRDefault="00DF27CE" w:rsidP="00DF27CE">
      <w:pPr>
        <w:shd w:val="clear" w:color="auto" w:fill="FFFFFF"/>
        <w:spacing w:line="288" w:lineRule="atLeast"/>
        <w:outlineLvl w:val="5"/>
        <w:rPr>
          <w:rFonts w:cs="Arial"/>
          <w:color w:val="000000"/>
          <w:szCs w:val="24"/>
          <w:lang w:val="en" w:eastAsia="en-GB"/>
        </w:rPr>
      </w:pPr>
      <w:r>
        <w:rPr>
          <w:rFonts w:cs="Arial"/>
          <w:color w:val="000000"/>
          <w:szCs w:val="24"/>
          <w:lang w:val="en" w:eastAsia="en-GB"/>
        </w:rPr>
        <w:t>Minimum Revenue Provision (MRP) is the mechanism by which capital expenditure funded though prudential borrowing is charged to revenue over time.  The aim of MRP is to align the charge to revenue over a period which the capital expenditure provides benefit.</w:t>
      </w:r>
    </w:p>
    <w:p w14:paraId="1BE801D9" w14:textId="77777777" w:rsidR="00DF27CE" w:rsidRDefault="00DF27CE" w:rsidP="00DF27CE">
      <w:pPr>
        <w:shd w:val="clear" w:color="auto" w:fill="FFFFFF"/>
        <w:spacing w:line="288" w:lineRule="atLeast"/>
        <w:outlineLvl w:val="5"/>
        <w:rPr>
          <w:rFonts w:cs="Arial"/>
          <w:color w:val="000000"/>
          <w:szCs w:val="24"/>
          <w:lang w:val="en" w:eastAsia="en-GB"/>
        </w:rPr>
      </w:pPr>
    </w:p>
    <w:p w14:paraId="2E9BA45F" w14:textId="77777777" w:rsidR="00DF27CE" w:rsidRDefault="00DF27CE" w:rsidP="00DF27CE">
      <w:pPr>
        <w:shd w:val="clear" w:color="auto" w:fill="FFFFFF"/>
        <w:spacing w:line="288" w:lineRule="atLeast"/>
        <w:outlineLvl w:val="5"/>
        <w:rPr>
          <w:rFonts w:cs="Arial"/>
          <w:color w:val="000000"/>
          <w:szCs w:val="24"/>
          <w:lang w:val="en" w:eastAsia="en-GB"/>
        </w:rPr>
      </w:pPr>
      <w:r>
        <w:rPr>
          <w:rFonts w:cs="Arial"/>
          <w:color w:val="000000"/>
          <w:szCs w:val="24"/>
          <w:lang w:val="en" w:eastAsia="en-GB"/>
        </w:rPr>
        <w:t>Before the start of each financial year the Council is required to approve an MRP Policy Statement specifying how it will make prudent MRP during that year.  Subject to full Council approval, the MRP Policy Statement can be revised during the year.</w:t>
      </w:r>
    </w:p>
    <w:p w14:paraId="23FD8F61" w14:textId="77777777" w:rsidR="00DF27CE" w:rsidRDefault="00DF27CE" w:rsidP="00DF27CE">
      <w:pPr>
        <w:shd w:val="clear" w:color="auto" w:fill="FFFFFF"/>
        <w:spacing w:line="288" w:lineRule="atLeast"/>
        <w:outlineLvl w:val="5"/>
        <w:rPr>
          <w:rFonts w:cs="Arial"/>
          <w:color w:val="000000"/>
          <w:szCs w:val="24"/>
          <w:highlight w:val="yellow"/>
          <w:lang w:val="en" w:eastAsia="en-GB"/>
        </w:rPr>
      </w:pPr>
    </w:p>
    <w:p w14:paraId="51723EEC" w14:textId="77777777" w:rsidR="00DF27CE" w:rsidRDefault="00DF27CE" w:rsidP="00DF27CE">
      <w:pPr>
        <w:jc w:val="both"/>
        <w:rPr>
          <w:b/>
          <w:sz w:val="28"/>
          <w:szCs w:val="28"/>
          <w:highlight w:val="yellow"/>
          <w:u w:val="single"/>
        </w:rPr>
      </w:pPr>
    </w:p>
    <w:p w14:paraId="26E4D6E7" w14:textId="7D812C99" w:rsidR="00DF27CE" w:rsidRPr="00C7122D" w:rsidRDefault="00DF27CE" w:rsidP="00C7122D">
      <w:pPr>
        <w:rPr>
          <w:b/>
          <w:sz w:val="28"/>
          <w:u w:val="single"/>
        </w:rPr>
      </w:pPr>
      <w:r w:rsidRPr="00C7122D">
        <w:rPr>
          <w:b/>
          <w:sz w:val="28"/>
          <w:u w:val="single"/>
        </w:rPr>
        <w:t>Treasury Management in the Public Services: CIPFA Code of Practice (</w:t>
      </w:r>
      <w:r w:rsidR="006C3DB6" w:rsidRPr="00C7122D">
        <w:rPr>
          <w:b/>
          <w:sz w:val="28"/>
          <w:u w:val="single"/>
        </w:rPr>
        <w:t>2021</w:t>
      </w:r>
      <w:r w:rsidRPr="00C7122D">
        <w:rPr>
          <w:b/>
          <w:sz w:val="28"/>
          <w:u w:val="single"/>
        </w:rPr>
        <w:t>) and Guidance Notes (20</w:t>
      </w:r>
      <w:r w:rsidR="006C3DB6" w:rsidRPr="00C7122D">
        <w:rPr>
          <w:b/>
          <w:sz w:val="28"/>
          <w:u w:val="single"/>
        </w:rPr>
        <w:t>21</w:t>
      </w:r>
      <w:r w:rsidRPr="00C7122D">
        <w:rPr>
          <w:b/>
          <w:sz w:val="28"/>
          <w:u w:val="single"/>
        </w:rPr>
        <w:t>)</w:t>
      </w:r>
    </w:p>
    <w:p w14:paraId="3415165D" w14:textId="77777777" w:rsidR="00DF27CE" w:rsidRDefault="00DF27CE" w:rsidP="00DF27CE">
      <w:pPr>
        <w:jc w:val="both"/>
        <w:rPr>
          <w:b/>
          <w:sz w:val="28"/>
          <w:szCs w:val="28"/>
          <w:u w:val="single"/>
        </w:rPr>
      </w:pPr>
    </w:p>
    <w:p w14:paraId="2807BB56" w14:textId="77777777" w:rsidR="00DF27CE" w:rsidRDefault="00DF27CE" w:rsidP="00DF27CE">
      <w:pPr>
        <w:jc w:val="both"/>
        <w:rPr>
          <w:rFonts w:cs="Arial"/>
          <w:iCs/>
          <w:szCs w:val="24"/>
        </w:rPr>
      </w:pPr>
      <w:r>
        <w:rPr>
          <w:rFonts w:cs="Arial"/>
          <w:iCs/>
          <w:szCs w:val="24"/>
        </w:rPr>
        <w:t>The primary requirements of the Code are:</w:t>
      </w:r>
    </w:p>
    <w:p w14:paraId="6D95936D" w14:textId="77777777" w:rsidR="00DF27CE" w:rsidRDefault="00DF27CE" w:rsidP="00C7122D">
      <w:pPr>
        <w:pStyle w:val="ListParagraph"/>
        <w:numPr>
          <w:ilvl w:val="0"/>
          <w:numId w:val="1"/>
        </w:numPr>
        <w:tabs>
          <w:tab w:val="num" w:pos="709"/>
        </w:tabs>
        <w:autoSpaceDE w:val="0"/>
        <w:autoSpaceDN w:val="0"/>
        <w:adjustRightInd w:val="0"/>
        <w:jc w:val="both"/>
        <w:rPr>
          <w:rFonts w:cs="Arial"/>
          <w:szCs w:val="24"/>
          <w:lang w:eastAsia="en-GB"/>
        </w:rPr>
      </w:pPr>
      <w:r>
        <w:rPr>
          <w:rFonts w:cs="Arial"/>
          <w:szCs w:val="24"/>
          <w:lang w:eastAsia="en-GB"/>
        </w:rPr>
        <w:t>Creation and maintenance of a Treasury Management Policy Statement which sets out the policies and objectives of the Council’s treasury management activities.</w:t>
      </w:r>
    </w:p>
    <w:p w14:paraId="1E45C079" w14:textId="77777777" w:rsidR="00DF27CE" w:rsidRDefault="00DF27CE" w:rsidP="00C7122D">
      <w:pPr>
        <w:pStyle w:val="ListParagraph"/>
        <w:numPr>
          <w:ilvl w:val="0"/>
          <w:numId w:val="1"/>
        </w:numPr>
        <w:tabs>
          <w:tab w:val="num" w:pos="709"/>
        </w:tabs>
        <w:autoSpaceDE w:val="0"/>
        <w:autoSpaceDN w:val="0"/>
        <w:adjustRightInd w:val="0"/>
        <w:jc w:val="both"/>
        <w:rPr>
          <w:rFonts w:cs="Arial"/>
          <w:szCs w:val="24"/>
          <w:lang w:eastAsia="en-GB"/>
        </w:rPr>
      </w:pPr>
      <w:r>
        <w:rPr>
          <w:rFonts w:cs="Arial"/>
          <w:szCs w:val="24"/>
          <w:lang w:eastAsia="en-GB"/>
        </w:rPr>
        <w:t xml:space="preserve">Creation and maintenance of Treasury Management Practices (“TMPs”) that set out the </w:t>
      </w:r>
      <w:proofErr w:type="gramStart"/>
      <w:r>
        <w:rPr>
          <w:rFonts w:cs="Arial"/>
          <w:szCs w:val="24"/>
          <w:lang w:eastAsia="en-GB"/>
        </w:rPr>
        <w:t>manner in which</w:t>
      </w:r>
      <w:proofErr w:type="gramEnd"/>
      <w:r>
        <w:rPr>
          <w:rFonts w:cs="Arial"/>
          <w:szCs w:val="24"/>
          <w:lang w:eastAsia="en-GB"/>
        </w:rPr>
        <w:t xml:space="preserve"> the Council will seek to achieve those policies and objectives.</w:t>
      </w:r>
    </w:p>
    <w:p w14:paraId="74F5AFCE" w14:textId="77777777" w:rsidR="00DF27CE" w:rsidRDefault="00DF27CE" w:rsidP="00C7122D">
      <w:pPr>
        <w:pStyle w:val="ListParagraph"/>
        <w:numPr>
          <w:ilvl w:val="0"/>
          <w:numId w:val="1"/>
        </w:numPr>
        <w:tabs>
          <w:tab w:val="num" w:pos="709"/>
        </w:tabs>
        <w:autoSpaceDE w:val="0"/>
        <w:autoSpaceDN w:val="0"/>
        <w:adjustRightInd w:val="0"/>
        <w:jc w:val="both"/>
        <w:rPr>
          <w:rFonts w:cs="Arial"/>
          <w:szCs w:val="24"/>
          <w:lang w:eastAsia="en-GB"/>
        </w:rPr>
      </w:pPr>
      <w:r>
        <w:rPr>
          <w:rFonts w:cs="Arial"/>
          <w:szCs w:val="24"/>
          <w:lang w:eastAsia="en-GB"/>
        </w:rPr>
        <w:t xml:space="preserve">Receipt by the full Council or Cabinet of an annual Treasury Management Strategy Statement - including the Annual Investment Strategy and </w:t>
      </w:r>
      <w:r>
        <w:rPr>
          <w:rFonts w:cs="Arial"/>
          <w:szCs w:val="24"/>
          <w:lang w:eastAsia="en-GB"/>
        </w:rPr>
        <w:lastRenderedPageBreak/>
        <w:t>Minimum Revenue Provision Policy Statement - for the year ahead, a Half-year Review Report and an Annual Report (stewardship report) covering activities during the previous year.</w:t>
      </w:r>
    </w:p>
    <w:p w14:paraId="1066677A" w14:textId="77777777" w:rsidR="00DF27CE" w:rsidRDefault="00DF27CE" w:rsidP="00C7122D">
      <w:pPr>
        <w:pStyle w:val="ListParagraph"/>
        <w:numPr>
          <w:ilvl w:val="0"/>
          <w:numId w:val="1"/>
        </w:numPr>
        <w:tabs>
          <w:tab w:val="num" w:pos="709"/>
        </w:tabs>
        <w:autoSpaceDE w:val="0"/>
        <w:autoSpaceDN w:val="0"/>
        <w:adjustRightInd w:val="0"/>
        <w:jc w:val="both"/>
        <w:rPr>
          <w:rFonts w:cs="Arial"/>
          <w:szCs w:val="24"/>
          <w:lang w:eastAsia="en-GB"/>
        </w:rPr>
      </w:pPr>
      <w:r>
        <w:rPr>
          <w:rFonts w:cs="Arial"/>
          <w:szCs w:val="24"/>
          <w:lang w:eastAsia="en-GB"/>
        </w:rPr>
        <w:t>Delegation by the Council of responsibilities for implementing and monitoring treasury management policies and practices and for the execution and administration of treasury management decisions.</w:t>
      </w:r>
    </w:p>
    <w:p w14:paraId="439C6DB1" w14:textId="5A654F24" w:rsidR="00DF27CE" w:rsidRDefault="00DF27CE" w:rsidP="00C7122D">
      <w:pPr>
        <w:pStyle w:val="ListParagraph"/>
        <w:numPr>
          <w:ilvl w:val="0"/>
          <w:numId w:val="1"/>
        </w:numPr>
        <w:tabs>
          <w:tab w:val="num" w:pos="709"/>
        </w:tabs>
        <w:autoSpaceDE w:val="0"/>
        <w:autoSpaceDN w:val="0"/>
        <w:adjustRightInd w:val="0"/>
        <w:jc w:val="both"/>
        <w:rPr>
          <w:rFonts w:cs="Arial"/>
          <w:szCs w:val="24"/>
          <w:lang w:eastAsia="en-GB"/>
        </w:rPr>
      </w:pPr>
      <w:r>
        <w:rPr>
          <w:rFonts w:cs="Arial"/>
          <w:szCs w:val="24"/>
          <w:lang w:eastAsia="en-GB"/>
        </w:rPr>
        <w:t xml:space="preserve">Delegation by the Council of the role of scrutiny of treasury management strategy and policies to a specific named body.  </w:t>
      </w:r>
    </w:p>
    <w:p w14:paraId="7B99FDC1" w14:textId="408F06E8" w:rsidR="006C3DB6" w:rsidRDefault="006C3DB6" w:rsidP="006C3DB6">
      <w:pPr>
        <w:jc w:val="both"/>
        <w:rPr>
          <w:rFonts w:cs="Arial"/>
          <w:szCs w:val="24"/>
        </w:rPr>
      </w:pPr>
    </w:p>
    <w:p w14:paraId="2336ADDA" w14:textId="15F3308A" w:rsidR="00BE07F7" w:rsidRDefault="006C3DB6" w:rsidP="006C3DB6">
      <w:pPr>
        <w:jc w:val="both"/>
        <w:rPr>
          <w:rFonts w:cs="Arial"/>
          <w:iCs/>
          <w:szCs w:val="24"/>
        </w:rPr>
      </w:pPr>
      <w:r w:rsidRPr="006C3DB6">
        <w:rPr>
          <w:rFonts w:cs="Arial"/>
          <w:iCs/>
          <w:szCs w:val="24"/>
        </w:rPr>
        <w:t>The 2021 CIPFA Treasury Management Code of Practice introduced</w:t>
      </w:r>
      <w:r w:rsidR="00BE07F7">
        <w:rPr>
          <w:rFonts w:cs="Arial"/>
          <w:iCs/>
          <w:szCs w:val="24"/>
        </w:rPr>
        <w:t xml:space="preserve"> the requirement from 2023/24:</w:t>
      </w:r>
      <w:r w:rsidRPr="006C3DB6">
        <w:rPr>
          <w:rFonts w:cs="Arial"/>
          <w:iCs/>
          <w:szCs w:val="24"/>
        </w:rPr>
        <w:t xml:space="preserve"> </w:t>
      </w:r>
    </w:p>
    <w:p w14:paraId="589CD642" w14:textId="2D99D07C" w:rsidR="00BE07F7" w:rsidRDefault="006C3DB6" w:rsidP="00C7122D">
      <w:pPr>
        <w:pStyle w:val="ListParagraph"/>
        <w:numPr>
          <w:ilvl w:val="0"/>
          <w:numId w:val="1"/>
        </w:numPr>
        <w:tabs>
          <w:tab w:val="num" w:pos="709"/>
        </w:tabs>
        <w:autoSpaceDE w:val="0"/>
        <w:autoSpaceDN w:val="0"/>
        <w:adjustRightInd w:val="0"/>
        <w:jc w:val="both"/>
        <w:rPr>
          <w:rFonts w:cs="Arial"/>
          <w:szCs w:val="24"/>
          <w:lang w:eastAsia="en-GB"/>
        </w:rPr>
      </w:pPr>
      <w:r w:rsidRPr="00BE07F7">
        <w:rPr>
          <w:rFonts w:cs="Arial"/>
          <w:szCs w:val="24"/>
        </w:rPr>
        <w:t xml:space="preserve">to present the Liability Benchmark as a new Treasury Indicator, to </w:t>
      </w:r>
      <w:r w:rsidRPr="00BE07F7">
        <w:rPr>
          <w:rFonts w:cs="Arial"/>
          <w:szCs w:val="24"/>
          <w:lang w:eastAsia="en-GB"/>
        </w:rPr>
        <w:t xml:space="preserve">support the financing risk management of the capital financing requirement.  </w:t>
      </w:r>
    </w:p>
    <w:p w14:paraId="78BA3BF8" w14:textId="263F29BA" w:rsidR="00BE07F7" w:rsidRPr="00C7122D" w:rsidRDefault="00BE07F7" w:rsidP="00C7122D">
      <w:pPr>
        <w:pStyle w:val="ListParagraph"/>
        <w:numPr>
          <w:ilvl w:val="0"/>
          <w:numId w:val="1"/>
        </w:numPr>
        <w:tabs>
          <w:tab w:val="num" w:pos="709"/>
        </w:tabs>
        <w:autoSpaceDE w:val="0"/>
        <w:autoSpaceDN w:val="0"/>
        <w:adjustRightInd w:val="0"/>
        <w:jc w:val="both"/>
        <w:rPr>
          <w:rFonts w:cs="Arial"/>
          <w:szCs w:val="24"/>
          <w:lang w:eastAsia="en-GB"/>
        </w:rPr>
      </w:pPr>
      <w:r w:rsidRPr="00BE07F7">
        <w:rPr>
          <w:rFonts w:cs="Arial"/>
          <w:szCs w:val="24"/>
          <w:lang w:eastAsia="en-GB"/>
        </w:rPr>
        <w:t xml:space="preserve">Updates to Treasury Management Practices (TMPs) in respect of incorporating Environment, Social and Governance (ESG) policies and the development of a knowledge and skills framework </w:t>
      </w:r>
      <w:r>
        <w:rPr>
          <w:rFonts w:cs="Arial"/>
          <w:szCs w:val="24"/>
          <w:lang w:eastAsia="en-GB"/>
        </w:rPr>
        <w:t xml:space="preserve">proportionate to the size and complexity of the treasury management </w:t>
      </w:r>
      <w:proofErr w:type="gramStart"/>
      <w:r>
        <w:rPr>
          <w:rFonts w:cs="Arial"/>
          <w:szCs w:val="24"/>
          <w:lang w:eastAsia="en-GB"/>
        </w:rPr>
        <w:t>operations</w:t>
      </w:r>
      <w:proofErr w:type="gramEnd"/>
    </w:p>
    <w:p w14:paraId="7200F521" w14:textId="72AA5001" w:rsidR="00BE07F7" w:rsidRPr="00C7122D" w:rsidRDefault="00BE07F7" w:rsidP="00C7122D">
      <w:pPr>
        <w:pStyle w:val="ListParagraph"/>
        <w:numPr>
          <w:ilvl w:val="0"/>
          <w:numId w:val="1"/>
        </w:numPr>
        <w:tabs>
          <w:tab w:val="num" w:pos="709"/>
        </w:tabs>
        <w:autoSpaceDE w:val="0"/>
        <w:autoSpaceDN w:val="0"/>
        <w:adjustRightInd w:val="0"/>
        <w:jc w:val="both"/>
        <w:rPr>
          <w:rFonts w:cs="Arial"/>
          <w:szCs w:val="24"/>
          <w:lang w:eastAsia="en-GB"/>
        </w:rPr>
      </w:pPr>
      <w:r>
        <w:rPr>
          <w:rFonts w:cs="Arial"/>
          <w:szCs w:val="24"/>
          <w:lang w:eastAsia="en-GB"/>
        </w:rPr>
        <w:t>The creation of Investment Management Practices (IMPs) to manage risks associated with non-treasury investments (</w:t>
      </w:r>
      <w:proofErr w:type="gramStart"/>
      <w:r>
        <w:rPr>
          <w:rFonts w:cs="Arial"/>
          <w:szCs w:val="24"/>
          <w:lang w:eastAsia="en-GB"/>
        </w:rPr>
        <w:t>similar to</w:t>
      </w:r>
      <w:proofErr w:type="gramEnd"/>
      <w:r>
        <w:rPr>
          <w:rFonts w:cs="Arial"/>
          <w:szCs w:val="24"/>
          <w:lang w:eastAsia="en-GB"/>
        </w:rPr>
        <w:t xml:space="preserve"> TMPs)</w:t>
      </w:r>
    </w:p>
    <w:p w14:paraId="6328E5E2" w14:textId="2DD91DEB" w:rsidR="00DF27CE" w:rsidRDefault="00DF27CE" w:rsidP="00DF27CE">
      <w:pPr>
        <w:ind w:left="993"/>
        <w:jc w:val="both"/>
        <w:rPr>
          <w:b/>
          <w:sz w:val="28"/>
          <w:szCs w:val="28"/>
          <w:highlight w:val="yellow"/>
          <w:u w:val="single"/>
        </w:rPr>
      </w:pPr>
    </w:p>
    <w:p w14:paraId="7D5D8B72" w14:textId="77777777" w:rsidR="005F264F" w:rsidRDefault="005F264F" w:rsidP="00DF27CE">
      <w:pPr>
        <w:ind w:left="993"/>
        <w:jc w:val="both"/>
        <w:rPr>
          <w:b/>
          <w:sz w:val="28"/>
          <w:szCs w:val="28"/>
          <w:highlight w:val="yellow"/>
          <w:u w:val="single"/>
        </w:rPr>
      </w:pPr>
    </w:p>
    <w:p w14:paraId="3307ECFD" w14:textId="74254C06" w:rsidR="00DF27CE" w:rsidRPr="00C7122D" w:rsidRDefault="00DF27CE" w:rsidP="00C7122D">
      <w:pPr>
        <w:rPr>
          <w:b/>
          <w:sz w:val="28"/>
          <w:u w:val="single"/>
        </w:rPr>
      </w:pPr>
      <w:r w:rsidRPr="00C7122D">
        <w:rPr>
          <w:b/>
          <w:sz w:val="28"/>
          <w:u w:val="single"/>
        </w:rPr>
        <w:t>CIPFA Prudential Code (2</w:t>
      </w:r>
      <w:r w:rsidR="006C3DB6" w:rsidRPr="00C7122D">
        <w:rPr>
          <w:b/>
          <w:sz w:val="28"/>
          <w:u w:val="single"/>
        </w:rPr>
        <w:t>021</w:t>
      </w:r>
      <w:r w:rsidRPr="00C7122D">
        <w:rPr>
          <w:b/>
          <w:sz w:val="28"/>
          <w:u w:val="single"/>
        </w:rPr>
        <w:t>) and Guidance Notes (20</w:t>
      </w:r>
      <w:r w:rsidR="006C3DB6" w:rsidRPr="00C7122D">
        <w:rPr>
          <w:b/>
          <w:sz w:val="28"/>
          <w:u w:val="single"/>
        </w:rPr>
        <w:t>21</w:t>
      </w:r>
      <w:r w:rsidRPr="00C7122D">
        <w:rPr>
          <w:b/>
          <w:sz w:val="28"/>
          <w:u w:val="single"/>
        </w:rPr>
        <w:t>)</w:t>
      </w:r>
    </w:p>
    <w:p w14:paraId="521B703D" w14:textId="77777777" w:rsidR="00DF27CE" w:rsidRDefault="00DF27CE" w:rsidP="00DF27CE">
      <w:pPr>
        <w:ind w:left="360"/>
        <w:jc w:val="both"/>
        <w:rPr>
          <w:b/>
          <w:sz w:val="28"/>
          <w:szCs w:val="28"/>
          <w:highlight w:val="yellow"/>
          <w:u w:val="single"/>
        </w:rPr>
      </w:pPr>
    </w:p>
    <w:p w14:paraId="01ADB532" w14:textId="77777777" w:rsidR="00DF27CE" w:rsidRDefault="00DF27CE" w:rsidP="00DF27CE">
      <w:pPr>
        <w:jc w:val="both"/>
        <w:rPr>
          <w:rFonts w:cs="Arial"/>
          <w:iCs/>
          <w:color w:val="0D0D0D"/>
          <w:szCs w:val="24"/>
          <w:lang w:val="en-AU"/>
        </w:rPr>
      </w:pPr>
      <w:r>
        <w:rPr>
          <w:rFonts w:cs="Arial"/>
          <w:iCs/>
          <w:color w:val="0D0D0D"/>
          <w:szCs w:val="24"/>
          <w:lang w:val="en-AU"/>
        </w:rPr>
        <w:t xml:space="preserve">The CIPFA Prudential Code is a framework developed to support local strategic planning, asset management and options appraisal.  The objectives of the Prudential Code are to ensure that the Council’s capital expenditure plans are affordable, </w:t>
      </w:r>
      <w:proofErr w:type="gramStart"/>
      <w:r>
        <w:rPr>
          <w:rFonts w:cs="Arial"/>
          <w:iCs/>
          <w:color w:val="0D0D0D"/>
          <w:szCs w:val="24"/>
          <w:lang w:val="en-AU"/>
        </w:rPr>
        <w:t>prudent</w:t>
      </w:r>
      <w:proofErr w:type="gramEnd"/>
      <w:r>
        <w:rPr>
          <w:rFonts w:cs="Arial"/>
          <w:iCs/>
          <w:color w:val="0D0D0D"/>
          <w:szCs w:val="24"/>
          <w:lang w:val="en-AU"/>
        </w:rPr>
        <w:t xml:space="preserve"> and sustainable, and that treasury management decisions are taken in accordance with good professional practice and in full understanding of the risks involved.</w:t>
      </w:r>
    </w:p>
    <w:p w14:paraId="000CFB43" w14:textId="77777777" w:rsidR="00DF27CE" w:rsidRDefault="00DF27CE" w:rsidP="00DF27CE">
      <w:pPr>
        <w:jc w:val="both"/>
        <w:rPr>
          <w:rFonts w:cs="Arial"/>
          <w:iCs/>
          <w:color w:val="0D0D0D"/>
          <w:szCs w:val="24"/>
          <w:lang w:val="en-AU"/>
        </w:rPr>
      </w:pPr>
    </w:p>
    <w:p w14:paraId="0D0FE062" w14:textId="3882020F" w:rsidR="00DF27CE" w:rsidRDefault="00DF27CE" w:rsidP="00DF27CE">
      <w:pPr>
        <w:jc w:val="both"/>
        <w:rPr>
          <w:rFonts w:cs="Arial"/>
          <w:iCs/>
          <w:color w:val="0D0D0D"/>
          <w:szCs w:val="24"/>
          <w:lang w:val="en-AU"/>
        </w:rPr>
      </w:pPr>
      <w:r>
        <w:rPr>
          <w:rFonts w:cs="Arial"/>
          <w:iCs/>
          <w:color w:val="0D0D0D"/>
          <w:szCs w:val="24"/>
          <w:lang w:val="en-AU"/>
        </w:rPr>
        <w:t xml:space="preserve">The Prudential Code sets out </w:t>
      </w:r>
      <w:proofErr w:type="gramStart"/>
      <w:r>
        <w:rPr>
          <w:rFonts w:cs="Arial"/>
          <w:iCs/>
          <w:color w:val="0D0D0D"/>
          <w:szCs w:val="24"/>
          <w:lang w:val="en-AU"/>
        </w:rPr>
        <w:t>a number of</w:t>
      </w:r>
      <w:proofErr w:type="gramEnd"/>
      <w:r>
        <w:rPr>
          <w:rFonts w:cs="Arial"/>
          <w:iCs/>
          <w:color w:val="0D0D0D"/>
          <w:szCs w:val="24"/>
          <w:lang w:val="en-AU"/>
        </w:rPr>
        <w:t xml:space="preserve"> indicators which demonstrate the impact of the approved capital programme.  </w:t>
      </w:r>
      <w:r w:rsidR="006C3DB6">
        <w:rPr>
          <w:rFonts w:cs="Arial"/>
          <w:iCs/>
          <w:color w:val="0D0D0D"/>
          <w:szCs w:val="24"/>
          <w:lang w:val="en-AU"/>
        </w:rPr>
        <w:t>Since 2017</w:t>
      </w:r>
      <w:r>
        <w:rPr>
          <w:rFonts w:cs="Arial"/>
          <w:iCs/>
          <w:color w:val="0D0D0D"/>
          <w:szCs w:val="24"/>
          <w:lang w:val="en-AU"/>
        </w:rPr>
        <w:t xml:space="preserve"> local authorities</w:t>
      </w:r>
      <w:r w:rsidR="006C3DB6">
        <w:rPr>
          <w:rFonts w:cs="Arial"/>
          <w:iCs/>
          <w:color w:val="0D0D0D"/>
          <w:szCs w:val="24"/>
          <w:lang w:val="en-AU"/>
        </w:rPr>
        <w:t xml:space="preserve"> have been required</w:t>
      </w:r>
      <w:r>
        <w:rPr>
          <w:rFonts w:cs="Arial"/>
          <w:iCs/>
          <w:color w:val="0D0D0D"/>
          <w:szCs w:val="24"/>
          <w:lang w:val="en-AU"/>
        </w:rPr>
        <w:t xml:space="preserve"> to produce an annual </w:t>
      </w:r>
      <w:r>
        <w:rPr>
          <w:rFonts w:cs="Arial"/>
          <w:bCs/>
          <w:iCs/>
          <w:color w:val="0D0D0D"/>
          <w:szCs w:val="24"/>
          <w:lang w:val="en-AU"/>
        </w:rPr>
        <w:t>Capital Strategy, which sets out the long-</w:t>
      </w:r>
      <w:r>
        <w:rPr>
          <w:rFonts w:cs="Arial"/>
          <w:iCs/>
          <w:color w:val="0D0D0D"/>
          <w:szCs w:val="24"/>
          <w:lang w:val="en-AU"/>
        </w:rPr>
        <w:t>term context in which capital expenditure and investment decisions are made.</w:t>
      </w:r>
    </w:p>
    <w:p w14:paraId="6E95CE91" w14:textId="042277B5" w:rsidR="006C3DB6" w:rsidRDefault="006C3DB6" w:rsidP="00DF27CE">
      <w:pPr>
        <w:jc w:val="both"/>
        <w:rPr>
          <w:rFonts w:cs="Arial"/>
          <w:iCs/>
          <w:color w:val="0D0D0D"/>
          <w:szCs w:val="24"/>
          <w:lang w:val="en-AU"/>
        </w:rPr>
      </w:pPr>
    </w:p>
    <w:p w14:paraId="70E356F0" w14:textId="4171400B" w:rsidR="00BE07F7" w:rsidRDefault="006C3DB6" w:rsidP="00DF27CE">
      <w:pPr>
        <w:jc w:val="both"/>
        <w:rPr>
          <w:rFonts w:cs="Arial"/>
          <w:iCs/>
          <w:color w:val="0D0D0D"/>
          <w:szCs w:val="24"/>
          <w:lang w:val="en-AU"/>
        </w:rPr>
      </w:pPr>
      <w:r>
        <w:rPr>
          <w:rFonts w:cs="Arial"/>
          <w:iCs/>
          <w:color w:val="0D0D0D"/>
          <w:szCs w:val="24"/>
          <w:lang w:val="en-AU"/>
        </w:rPr>
        <w:t>The 2021 CIPFA Prudential Code introduced the requirement from 2023/24 to</w:t>
      </w:r>
      <w:r w:rsidR="00374AE8">
        <w:rPr>
          <w:rFonts w:cs="Arial"/>
          <w:iCs/>
          <w:color w:val="0D0D0D"/>
          <w:szCs w:val="24"/>
          <w:lang w:val="en-AU"/>
        </w:rPr>
        <w:t>:</w:t>
      </w:r>
    </w:p>
    <w:p w14:paraId="0CAC2162" w14:textId="71451DEC" w:rsidR="006C3DB6" w:rsidRPr="00C7122D" w:rsidRDefault="00BE07F7" w:rsidP="00C7122D">
      <w:pPr>
        <w:pStyle w:val="ListParagraph"/>
        <w:numPr>
          <w:ilvl w:val="0"/>
          <w:numId w:val="1"/>
        </w:numPr>
        <w:tabs>
          <w:tab w:val="num" w:pos="709"/>
        </w:tabs>
        <w:autoSpaceDE w:val="0"/>
        <w:autoSpaceDN w:val="0"/>
        <w:adjustRightInd w:val="0"/>
        <w:jc w:val="both"/>
        <w:rPr>
          <w:rFonts w:cs="Arial"/>
          <w:szCs w:val="24"/>
          <w:lang w:eastAsia="en-GB"/>
        </w:rPr>
      </w:pPr>
      <w:r w:rsidRPr="00C7122D">
        <w:rPr>
          <w:rFonts w:cs="Arial"/>
          <w:szCs w:val="24"/>
          <w:lang w:eastAsia="en-GB"/>
        </w:rPr>
        <w:t>P</w:t>
      </w:r>
      <w:r w:rsidR="006C3DB6" w:rsidRPr="00C7122D">
        <w:rPr>
          <w:rFonts w:cs="Arial"/>
          <w:szCs w:val="24"/>
          <w:lang w:eastAsia="en-GB"/>
        </w:rPr>
        <w:t xml:space="preserve">resent a Prudential Indicator </w:t>
      </w:r>
      <w:r w:rsidRPr="00C7122D">
        <w:rPr>
          <w:rFonts w:cs="Arial"/>
          <w:szCs w:val="24"/>
          <w:lang w:eastAsia="en-GB"/>
        </w:rPr>
        <w:t xml:space="preserve">in looking at income from </w:t>
      </w:r>
      <w:proofErr w:type="spellStart"/>
      <w:r w:rsidRPr="00C7122D">
        <w:rPr>
          <w:rFonts w:cs="Arial"/>
          <w:szCs w:val="24"/>
          <w:lang w:eastAsia="en-GB"/>
        </w:rPr>
        <w:t>non treasury</w:t>
      </w:r>
      <w:proofErr w:type="spellEnd"/>
      <w:r w:rsidRPr="00C7122D">
        <w:rPr>
          <w:rFonts w:cs="Arial"/>
          <w:szCs w:val="24"/>
          <w:lang w:eastAsia="en-GB"/>
        </w:rPr>
        <w:t xml:space="preserve"> investments as a proportion of net revenue stream</w:t>
      </w:r>
      <w:r w:rsidR="00374AE8" w:rsidRPr="00C7122D">
        <w:rPr>
          <w:rFonts w:cs="Arial"/>
          <w:szCs w:val="24"/>
          <w:lang w:eastAsia="en-GB"/>
        </w:rPr>
        <w:t xml:space="preserve"> to ensure a proportionate approach to service and commercial </w:t>
      </w:r>
      <w:proofErr w:type="gramStart"/>
      <w:r w:rsidR="00374AE8" w:rsidRPr="00C7122D">
        <w:rPr>
          <w:rFonts w:cs="Arial"/>
          <w:szCs w:val="24"/>
          <w:lang w:eastAsia="en-GB"/>
        </w:rPr>
        <w:t>investment</w:t>
      </w:r>
      <w:proofErr w:type="gramEnd"/>
    </w:p>
    <w:p w14:paraId="42895B95" w14:textId="357612F3" w:rsidR="006C3DB6" w:rsidRPr="00C7122D" w:rsidRDefault="006C3DB6" w:rsidP="00C7122D">
      <w:pPr>
        <w:pStyle w:val="ListParagraph"/>
        <w:numPr>
          <w:ilvl w:val="0"/>
          <w:numId w:val="1"/>
        </w:numPr>
        <w:tabs>
          <w:tab w:val="num" w:pos="709"/>
        </w:tabs>
        <w:autoSpaceDE w:val="0"/>
        <w:autoSpaceDN w:val="0"/>
        <w:adjustRightInd w:val="0"/>
        <w:jc w:val="both"/>
        <w:rPr>
          <w:rFonts w:cs="Arial"/>
          <w:szCs w:val="24"/>
          <w:lang w:eastAsia="en-GB"/>
        </w:rPr>
      </w:pPr>
      <w:r w:rsidRPr="00C7122D">
        <w:rPr>
          <w:rFonts w:cs="Arial"/>
          <w:szCs w:val="24"/>
          <w:lang w:eastAsia="en-GB"/>
        </w:rPr>
        <w:t xml:space="preserve">address ESG </w:t>
      </w:r>
      <w:r w:rsidR="00374AE8" w:rsidRPr="00C7122D">
        <w:rPr>
          <w:rFonts w:cs="Arial"/>
          <w:szCs w:val="24"/>
          <w:lang w:eastAsia="en-GB"/>
        </w:rPr>
        <w:t>policies</w:t>
      </w:r>
      <w:r w:rsidRPr="00C7122D">
        <w:rPr>
          <w:rFonts w:cs="Arial"/>
          <w:szCs w:val="24"/>
          <w:lang w:eastAsia="en-GB"/>
        </w:rPr>
        <w:t xml:space="preserve"> within the Capital </w:t>
      </w:r>
      <w:r w:rsidR="00C7122D" w:rsidRPr="00C7122D">
        <w:rPr>
          <w:rFonts w:cs="Arial"/>
          <w:szCs w:val="24"/>
          <w:lang w:eastAsia="en-GB"/>
        </w:rPr>
        <w:t>Strategy.</w:t>
      </w:r>
      <w:r w:rsidRPr="00C7122D">
        <w:rPr>
          <w:rFonts w:cs="Arial"/>
          <w:szCs w:val="24"/>
          <w:lang w:eastAsia="en-GB"/>
        </w:rPr>
        <w:t xml:space="preserve"> </w:t>
      </w:r>
    </w:p>
    <w:p w14:paraId="0C2AD43B" w14:textId="08BB94C5" w:rsidR="005F264F" w:rsidRDefault="005F264F" w:rsidP="00DF27CE">
      <w:pPr>
        <w:jc w:val="both"/>
        <w:rPr>
          <w:rFonts w:cs="Arial"/>
          <w:iCs/>
          <w:color w:val="0D0D0D"/>
          <w:szCs w:val="24"/>
          <w:lang w:val="en-AU"/>
        </w:rPr>
      </w:pPr>
    </w:p>
    <w:p w14:paraId="1F4702E4" w14:textId="77777777" w:rsidR="005F264F" w:rsidRDefault="005F264F" w:rsidP="00DF27CE">
      <w:pPr>
        <w:jc w:val="both"/>
        <w:rPr>
          <w:rFonts w:cs="Arial"/>
          <w:iCs/>
          <w:color w:val="0D0D0D"/>
          <w:szCs w:val="24"/>
          <w:lang w:val="en-AU"/>
        </w:rPr>
      </w:pPr>
    </w:p>
    <w:p w14:paraId="0AD42E5E" w14:textId="66FD3153" w:rsidR="005F264F" w:rsidRDefault="005F264F" w:rsidP="0064287C">
      <w:pPr>
        <w:pStyle w:val="ListParagraph"/>
        <w:numPr>
          <w:ilvl w:val="4"/>
          <w:numId w:val="8"/>
        </w:numPr>
        <w:ind w:left="567" w:hanging="567"/>
        <w:rPr>
          <w:b/>
          <w:sz w:val="28"/>
          <w:u w:val="single"/>
        </w:rPr>
      </w:pPr>
      <w:r>
        <w:rPr>
          <w:b/>
          <w:sz w:val="28"/>
          <w:u w:val="single"/>
        </w:rPr>
        <w:t>CIPFA Treasury Management Code of Practice (2021) and Prudential Code (2021)</w:t>
      </w:r>
      <w:r w:rsidR="00374AE8">
        <w:rPr>
          <w:b/>
          <w:sz w:val="28"/>
          <w:u w:val="single"/>
        </w:rPr>
        <w:t xml:space="preserve"> definition of investment</w:t>
      </w:r>
    </w:p>
    <w:p w14:paraId="24A8B388" w14:textId="77777777" w:rsidR="004C76CE" w:rsidRPr="004C76CE" w:rsidRDefault="004C76CE" w:rsidP="004C76CE">
      <w:pPr>
        <w:autoSpaceDE w:val="0"/>
        <w:autoSpaceDN w:val="0"/>
        <w:adjustRightInd w:val="0"/>
        <w:ind w:left="720"/>
        <w:jc w:val="both"/>
        <w:rPr>
          <w:rFonts w:cs="Arial"/>
          <w:color w:val="000000"/>
          <w:szCs w:val="24"/>
          <w:lang w:eastAsia="en-GB"/>
        </w:rPr>
      </w:pPr>
    </w:p>
    <w:p w14:paraId="343C3F8A" w14:textId="72F28288" w:rsidR="005F264F" w:rsidRPr="005F264F" w:rsidRDefault="00374AE8" w:rsidP="005F264F">
      <w:pPr>
        <w:tabs>
          <w:tab w:val="num" w:pos="540"/>
        </w:tabs>
        <w:jc w:val="both"/>
        <w:rPr>
          <w:rFonts w:cs="Arial"/>
          <w:szCs w:val="24"/>
        </w:rPr>
      </w:pPr>
      <w:r>
        <w:rPr>
          <w:rFonts w:cs="Arial"/>
          <w:szCs w:val="24"/>
        </w:rPr>
        <w:t>All</w:t>
      </w:r>
      <w:r w:rsidR="005F264F" w:rsidRPr="005F264F">
        <w:rPr>
          <w:rFonts w:cs="Arial"/>
          <w:szCs w:val="24"/>
        </w:rPr>
        <w:t xml:space="preserve"> investments and investment income must be attributed to one of the following three purposes: -</w:t>
      </w:r>
    </w:p>
    <w:p w14:paraId="065E56E5" w14:textId="77777777" w:rsidR="005F264F" w:rsidRPr="005F264F" w:rsidRDefault="005F264F" w:rsidP="005F264F">
      <w:pPr>
        <w:tabs>
          <w:tab w:val="num" w:pos="540"/>
        </w:tabs>
        <w:jc w:val="both"/>
        <w:rPr>
          <w:rFonts w:cs="Arial"/>
          <w:szCs w:val="24"/>
        </w:rPr>
      </w:pPr>
    </w:p>
    <w:p w14:paraId="6C3846C9" w14:textId="77777777" w:rsidR="005F264F" w:rsidRPr="005F264F" w:rsidRDefault="005F264F" w:rsidP="00C7122D">
      <w:pPr>
        <w:jc w:val="both"/>
        <w:rPr>
          <w:rFonts w:cs="Arial"/>
          <w:bCs/>
          <w:szCs w:val="24"/>
        </w:rPr>
      </w:pPr>
      <w:r w:rsidRPr="005F264F">
        <w:rPr>
          <w:rFonts w:cs="Arial"/>
          <w:b/>
          <w:bCs/>
          <w:szCs w:val="24"/>
        </w:rPr>
        <w:t>Treasury management</w:t>
      </w:r>
    </w:p>
    <w:p w14:paraId="460084AE" w14:textId="77777777" w:rsidR="005F264F" w:rsidRPr="005F264F" w:rsidRDefault="005F264F" w:rsidP="00C7122D">
      <w:pPr>
        <w:jc w:val="both"/>
        <w:rPr>
          <w:rFonts w:cs="Arial"/>
          <w:szCs w:val="24"/>
        </w:rPr>
      </w:pPr>
      <w:r w:rsidRPr="005F264F">
        <w:rPr>
          <w:rFonts w:cs="Arial"/>
          <w:szCs w:val="24"/>
        </w:rPr>
        <w:t xml:space="preserve">Arising from the organisation’s cash flows or treasury risk management activity, this type of investment represents balances which are only held until the cash is required for use.  Treasury investments may also arise from other treasury </w:t>
      </w:r>
      <w:r w:rsidRPr="005F264F">
        <w:rPr>
          <w:rFonts w:cs="Arial"/>
          <w:szCs w:val="24"/>
        </w:rPr>
        <w:lastRenderedPageBreak/>
        <w:t>risk management activity which seeks to prudently manage the risks, costs or income relating to existing or forecast debt or treasury investments.</w:t>
      </w:r>
    </w:p>
    <w:p w14:paraId="1CEEE433" w14:textId="77777777" w:rsidR="005F264F" w:rsidRPr="005F264F" w:rsidRDefault="005F264F" w:rsidP="005F264F">
      <w:pPr>
        <w:jc w:val="both"/>
        <w:rPr>
          <w:rFonts w:cs="Arial"/>
          <w:szCs w:val="24"/>
        </w:rPr>
      </w:pPr>
    </w:p>
    <w:p w14:paraId="13B53BF7" w14:textId="77777777" w:rsidR="005F264F" w:rsidRPr="005F264F" w:rsidRDefault="005F264F" w:rsidP="00C7122D">
      <w:pPr>
        <w:jc w:val="both"/>
        <w:rPr>
          <w:rFonts w:cs="Arial"/>
          <w:bCs/>
          <w:szCs w:val="24"/>
        </w:rPr>
      </w:pPr>
      <w:r w:rsidRPr="005F264F">
        <w:rPr>
          <w:rFonts w:cs="Arial"/>
          <w:b/>
          <w:bCs/>
          <w:szCs w:val="24"/>
        </w:rPr>
        <w:t>Service delivery</w:t>
      </w:r>
    </w:p>
    <w:p w14:paraId="2ACA387E" w14:textId="0914518C" w:rsidR="005F264F" w:rsidRPr="005F264F" w:rsidRDefault="005F264F" w:rsidP="00C7122D">
      <w:pPr>
        <w:jc w:val="both"/>
        <w:rPr>
          <w:rFonts w:cs="Arial"/>
          <w:szCs w:val="24"/>
        </w:rPr>
      </w:pPr>
      <w:r w:rsidRPr="005F264F">
        <w:rPr>
          <w:rFonts w:cs="Arial"/>
          <w:szCs w:val="24"/>
        </w:rPr>
        <w:t xml:space="preserve">Investments held primarily and directly for the delivery of public services including housing, </w:t>
      </w:r>
      <w:r w:rsidR="004C76CE" w:rsidRPr="005F264F">
        <w:rPr>
          <w:rFonts w:cs="Arial"/>
          <w:szCs w:val="24"/>
        </w:rPr>
        <w:t>regeneration,</w:t>
      </w:r>
      <w:r w:rsidRPr="005F264F">
        <w:rPr>
          <w:rFonts w:cs="Arial"/>
          <w:szCs w:val="24"/>
        </w:rPr>
        <w:t xml:space="preserve"> and local infrastructure.  Returns on this category of investment which are funded by borrowing are permitted only in cases where the income is “either related to the financial viability of the project in question or otherwise incidental to the primary purpose”.</w:t>
      </w:r>
    </w:p>
    <w:p w14:paraId="2AE5F15F" w14:textId="77777777" w:rsidR="005F264F" w:rsidRPr="005F264F" w:rsidRDefault="005F264F" w:rsidP="005F264F">
      <w:pPr>
        <w:jc w:val="both"/>
        <w:rPr>
          <w:rFonts w:cs="Arial"/>
          <w:szCs w:val="24"/>
        </w:rPr>
      </w:pPr>
    </w:p>
    <w:p w14:paraId="52699ACF" w14:textId="77777777" w:rsidR="005F264F" w:rsidRPr="005F264F" w:rsidRDefault="005F264F" w:rsidP="00C7122D">
      <w:pPr>
        <w:jc w:val="both"/>
        <w:rPr>
          <w:rFonts w:cs="Arial"/>
          <w:bCs/>
          <w:szCs w:val="24"/>
        </w:rPr>
      </w:pPr>
      <w:r w:rsidRPr="005F264F">
        <w:rPr>
          <w:rFonts w:cs="Arial"/>
          <w:b/>
          <w:bCs/>
          <w:szCs w:val="24"/>
        </w:rPr>
        <w:t>Commercial return</w:t>
      </w:r>
    </w:p>
    <w:p w14:paraId="3864D41C" w14:textId="77777777" w:rsidR="005F264F" w:rsidRPr="005F264F" w:rsidRDefault="005F264F" w:rsidP="00C7122D">
      <w:pPr>
        <w:jc w:val="both"/>
        <w:rPr>
          <w:rFonts w:cs="Arial"/>
          <w:szCs w:val="24"/>
        </w:rPr>
      </w:pPr>
      <w:r w:rsidRPr="005F264F">
        <w:rPr>
          <w:rFonts w:cs="Arial"/>
          <w:szCs w:val="24"/>
        </w:rPr>
        <w:t>Investments held primarily for financial return with no treasury management or direct service provision purpose.  Risks on such investments should be proportionate to a council’s financial capacity – i.e., that ‘plausible losses’ could be absorbed in budgets or reserves without unmanageable detriment to local services. An authority must not borrow to invest primarily for financial return.</w:t>
      </w:r>
    </w:p>
    <w:p w14:paraId="1FE46116" w14:textId="77777777" w:rsidR="00DF27CE" w:rsidRPr="005F264F" w:rsidRDefault="00DF27CE" w:rsidP="005F264F">
      <w:pPr>
        <w:rPr>
          <w:szCs w:val="24"/>
        </w:rPr>
      </w:pPr>
    </w:p>
    <w:p w14:paraId="176D4DF7" w14:textId="77777777" w:rsidR="00DF27CE" w:rsidRDefault="00DF27CE" w:rsidP="00DF27CE">
      <w:pPr>
        <w:jc w:val="right"/>
        <w:rPr>
          <w:b/>
          <w:sz w:val="32"/>
          <w:szCs w:val="32"/>
        </w:rPr>
      </w:pPr>
      <w:r>
        <w:rPr>
          <w:b/>
          <w:szCs w:val="24"/>
          <w:u w:val="single"/>
        </w:rPr>
        <w:br w:type="page"/>
      </w:r>
      <w:r>
        <w:rPr>
          <w:b/>
          <w:sz w:val="32"/>
          <w:szCs w:val="32"/>
        </w:rPr>
        <w:lastRenderedPageBreak/>
        <w:t>APPENDIX B</w:t>
      </w:r>
    </w:p>
    <w:p w14:paraId="5754CB11" w14:textId="77777777" w:rsidR="00DF27CE" w:rsidRDefault="00DF27CE" w:rsidP="00DF27CE">
      <w:pPr>
        <w:jc w:val="center"/>
        <w:rPr>
          <w:b/>
          <w:szCs w:val="24"/>
        </w:rPr>
      </w:pPr>
    </w:p>
    <w:p w14:paraId="6AFF348F" w14:textId="77777777" w:rsidR="00DF27CE" w:rsidRDefault="00DF27CE" w:rsidP="00DF27CE">
      <w:pPr>
        <w:rPr>
          <w:b/>
          <w:sz w:val="32"/>
          <w:szCs w:val="32"/>
        </w:rPr>
      </w:pPr>
      <w:r>
        <w:rPr>
          <w:b/>
          <w:sz w:val="32"/>
          <w:szCs w:val="32"/>
        </w:rPr>
        <w:t>TREASURY MANAGEMENT DELEGATIONS AND RESPONSIBILITIES</w:t>
      </w:r>
    </w:p>
    <w:p w14:paraId="5B905153" w14:textId="77777777" w:rsidR="00DF27CE" w:rsidRDefault="00DF27CE" w:rsidP="00DF27CE">
      <w:pPr>
        <w:jc w:val="center"/>
        <w:rPr>
          <w:b/>
          <w:szCs w:val="24"/>
        </w:rPr>
      </w:pPr>
    </w:p>
    <w:p w14:paraId="4A8CD543" w14:textId="77777777" w:rsidR="00DF27CE" w:rsidRDefault="00DF27CE" w:rsidP="00DF27CE">
      <w:pPr>
        <w:jc w:val="both"/>
        <w:rPr>
          <w:szCs w:val="24"/>
        </w:rPr>
      </w:pPr>
      <w:r>
        <w:rPr>
          <w:szCs w:val="24"/>
        </w:rPr>
        <w:t>The respective roles of the Council, Cabinet, GARMSC, the Section 151 officer, the Treasury Management Group the Treasury and Pensions Manager and the Treasury Team are summarised below.  Further details are set out in the Treasury Management Practices.</w:t>
      </w:r>
    </w:p>
    <w:p w14:paraId="17DE4BB3" w14:textId="77777777" w:rsidR="00DF27CE" w:rsidRDefault="00DF27CE" w:rsidP="00DF27CE">
      <w:pPr>
        <w:jc w:val="both"/>
        <w:rPr>
          <w:szCs w:val="24"/>
        </w:rPr>
      </w:pPr>
    </w:p>
    <w:p w14:paraId="460ADC22" w14:textId="77777777" w:rsidR="00DF27CE" w:rsidRDefault="00DF27CE" w:rsidP="00DF27CE">
      <w:pPr>
        <w:jc w:val="both"/>
        <w:rPr>
          <w:b/>
          <w:u w:val="single"/>
        </w:rPr>
      </w:pPr>
      <w:r>
        <w:rPr>
          <w:b/>
          <w:u w:val="single"/>
        </w:rPr>
        <w:t>Council</w:t>
      </w:r>
    </w:p>
    <w:p w14:paraId="29ABD07B" w14:textId="77777777" w:rsidR="00DF27CE" w:rsidRDefault="00DF27CE" w:rsidP="00DF27CE">
      <w:pPr>
        <w:jc w:val="both"/>
        <w:rPr>
          <w:b/>
        </w:rPr>
      </w:pPr>
    </w:p>
    <w:p w14:paraId="3F69C724" w14:textId="77777777" w:rsidR="00DF27CE" w:rsidRDefault="00DF27CE" w:rsidP="00DF27CE">
      <w:pPr>
        <w:autoSpaceDE w:val="0"/>
        <w:autoSpaceDN w:val="0"/>
        <w:adjustRightInd w:val="0"/>
        <w:rPr>
          <w:rFonts w:cs="Arial"/>
          <w:color w:val="000000"/>
          <w:szCs w:val="24"/>
          <w:lang w:eastAsia="en-GB"/>
        </w:rPr>
      </w:pPr>
      <w:r>
        <w:rPr>
          <w:rFonts w:cs="Arial"/>
          <w:color w:val="000000"/>
          <w:szCs w:val="24"/>
          <w:lang w:eastAsia="en-GB"/>
        </w:rPr>
        <w:t>Under the Constitution, the Council is responsible for “decisions relating to the control of the Council’s borrowing requirement.”</w:t>
      </w:r>
    </w:p>
    <w:p w14:paraId="58097C5B" w14:textId="77777777" w:rsidR="00DF27CE" w:rsidRDefault="00DF27CE" w:rsidP="00DF27CE">
      <w:pPr>
        <w:autoSpaceDE w:val="0"/>
        <w:autoSpaceDN w:val="0"/>
        <w:adjustRightInd w:val="0"/>
        <w:rPr>
          <w:rFonts w:cs="Arial"/>
          <w:color w:val="000000"/>
          <w:szCs w:val="24"/>
          <w:lang w:eastAsia="en-GB"/>
        </w:rPr>
      </w:pPr>
    </w:p>
    <w:p w14:paraId="7EF48573" w14:textId="77777777" w:rsidR="00DF27CE" w:rsidRDefault="00DF27CE" w:rsidP="00DF27CE">
      <w:pPr>
        <w:autoSpaceDE w:val="0"/>
        <w:autoSpaceDN w:val="0"/>
        <w:adjustRightInd w:val="0"/>
        <w:jc w:val="both"/>
        <w:rPr>
          <w:rFonts w:cs="Arial"/>
          <w:color w:val="000000"/>
          <w:szCs w:val="24"/>
          <w:lang w:eastAsia="en-GB"/>
        </w:rPr>
      </w:pPr>
      <w:r>
        <w:rPr>
          <w:rFonts w:cs="Arial"/>
          <w:color w:val="000000"/>
          <w:szCs w:val="24"/>
          <w:lang w:eastAsia="en-GB"/>
        </w:rPr>
        <w:t>It agrees the annual Treasury Management Strategy Statement including Prudential Indicators, Minimum Revenue Provision Policy Statement and Annual Investment Strategy.</w:t>
      </w:r>
    </w:p>
    <w:p w14:paraId="05B0772E" w14:textId="77777777" w:rsidR="00DF27CE" w:rsidRDefault="00DF27CE" w:rsidP="00DF27CE">
      <w:pPr>
        <w:jc w:val="both"/>
        <w:rPr>
          <w:b/>
        </w:rPr>
      </w:pPr>
    </w:p>
    <w:p w14:paraId="5DD8D07D" w14:textId="77777777" w:rsidR="00DF27CE" w:rsidRDefault="00DF27CE" w:rsidP="00DF27CE">
      <w:pPr>
        <w:jc w:val="both"/>
        <w:rPr>
          <w:b/>
          <w:u w:val="single"/>
        </w:rPr>
      </w:pPr>
      <w:r>
        <w:rPr>
          <w:b/>
          <w:u w:val="single"/>
        </w:rPr>
        <w:t>Cabinet</w:t>
      </w:r>
    </w:p>
    <w:p w14:paraId="61C32EC3" w14:textId="77777777" w:rsidR="00DF27CE" w:rsidRDefault="00DF27CE" w:rsidP="00DF27CE">
      <w:pPr>
        <w:jc w:val="both"/>
      </w:pPr>
    </w:p>
    <w:p w14:paraId="17E5E980" w14:textId="77777777" w:rsidR="00DF27CE" w:rsidRDefault="00DF27CE" w:rsidP="00DF27CE">
      <w:pPr>
        <w:autoSpaceDE w:val="0"/>
        <w:autoSpaceDN w:val="0"/>
        <w:adjustRightInd w:val="0"/>
        <w:jc w:val="both"/>
        <w:rPr>
          <w:rFonts w:cs="Arial"/>
          <w:color w:val="000000"/>
          <w:szCs w:val="24"/>
          <w:lang w:eastAsia="en-GB"/>
        </w:rPr>
      </w:pPr>
      <w:r>
        <w:rPr>
          <w:rFonts w:cs="Arial"/>
          <w:color w:val="000000"/>
          <w:szCs w:val="24"/>
          <w:lang w:eastAsia="en-GB"/>
        </w:rPr>
        <w:t>Under the Constitution, the Cabinet “will exercise all of the local authority functions which are not the responsibility of any other part of the local authority, whether by law or under this Constitution.”</w:t>
      </w:r>
    </w:p>
    <w:p w14:paraId="6A3B943C" w14:textId="77777777" w:rsidR="00DF27CE" w:rsidRDefault="00DF27CE" w:rsidP="00DF27CE">
      <w:pPr>
        <w:autoSpaceDE w:val="0"/>
        <w:autoSpaceDN w:val="0"/>
        <w:adjustRightInd w:val="0"/>
      </w:pPr>
    </w:p>
    <w:p w14:paraId="0AB2BF9B" w14:textId="77777777" w:rsidR="00DF27CE" w:rsidRDefault="00DF27CE" w:rsidP="00DF27CE">
      <w:pPr>
        <w:jc w:val="both"/>
      </w:pPr>
      <w:r>
        <w:rPr>
          <w:rFonts w:cs="Arial"/>
          <w:color w:val="000000"/>
          <w:szCs w:val="24"/>
          <w:lang w:eastAsia="en-GB"/>
        </w:rPr>
        <w:t>It considers and recommends to Council the annual Treasury Management Strategy Statement and receives a mid-year report and annual outturn report on Treasury Management activities.</w:t>
      </w:r>
    </w:p>
    <w:p w14:paraId="066D4FD0" w14:textId="77777777" w:rsidR="00DF27CE" w:rsidRDefault="00DF27CE" w:rsidP="00DF27CE">
      <w:pPr>
        <w:jc w:val="both"/>
      </w:pPr>
    </w:p>
    <w:p w14:paraId="2A9BA260" w14:textId="77777777" w:rsidR="00DF27CE" w:rsidRDefault="00DF27CE" w:rsidP="00DF27CE">
      <w:pPr>
        <w:jc w:val="both"/>
        <w:rPr>
          <w:b/>
          <w:u w:val="single"/>
        </w:rPr>
      </w:pPr>
      <w:r>
        <w:rPr>
          <w:b/>
          <w:u w:val="single"/>
        </w:rPr>
        <w:t>Governance, Audit, Risk Management and Standards Committee</w:t>
      </w:r>
    </w:p>
    <w:p w14:paraId="2FB0FF1D" w14:textId="77777777" w:rsidR="00DF27CE" w:rsidRDefault="00DF27CE" w:rsidP="00DF27CE">
      <w:pPr>
        <w:jc w:val="both"/>
        <w:rPr>
          <w:b/>
        </w:rPr>
      </w:pPr>
    </w:p>
    <w:p w14:paraId="3437C4E4" w14:textId="77777777" w:rsidR="00DF27CE" w:rsidRDefault="00DF27CE" w:rsidP="00DF27CE">
      <w:pPr>
        <w:jc w:val="both"/>
      </w:pPr>
      <w:r>
        <w:t>GARMSC reviews the Treasury Management Strategy and monitors progress on treasury management in accordance with CIPFA codes of practice.</w:t>
      </w:r>
    </w:p>
    <w:p w14:paraId="5A8931FF" w14:textId="77777777" w:rsidR="00DF27CE" w:rsidRDefault="00DF27CE" w:rsidP="00DF27CE">
      <w:pPr>
        <w:jc w:val="both"/>
      </w:pPr>
    </w:p>
    <w:p w14:paraId="5C4FF54D" w14:textId="77777777" w:rsidR="00DF27CE" w:rsidRDefault="00DF27CE" w:rsidP="00DF27CE">
      <w:pPr>
        <w:jc w:val="both"/>
        <w:rPr>
          <w:b/>
          <w:u w:val="single"/>
        </w:rPr>
      </w:pPr>
      <w:r>
        <w:rPr>
          <w:b/>
          <w:u w:val="single"/>
        </w:rPr>
        <w:t xml:space="preserve">Director of Finance (Section 151 Officer)  </w:t>
      </w:r>
    </w:p>
    <w:p w14:paraId="028279DF" w14:textId="77777777" w:rsidR="00DF27CE" w:rsidRDefault="00DF27CE" w:rsidP="00DF27CE">
      <w:pPr>
        <w:jc w:val="both"/>
        <w:rPr>
          <w:b/>
        </w:rPr>
      </w:pPr>
    </w:p>
    <w:p w14:paraId="628A0CE4" w14:textId="77777777" w:rsidR="00DF27CE" w:rsidRDefault="00DF27CE" w:rsidP="00DF27CE">
      <w:pPr>
        <w:jc w:val="both"/>
        <w:rPr>
          <w:rFonts w:cs="Arial"/>
          <w:color w:val="000000"/>
          <w:szCs w:val="24"/>
          <w:lang w:val="en" w:eastAsia="en-GB"/>
        </w:rPr>
      </w:pPr>
      <w:r>
        <w:rPr>
          <w:szCs w:val="24"/>
        </w:rPr>
        <w:t>Under S151 of the Local Government Act 1972 the Council “</w:t>
      </w:r>
      <w:r>
        <w:rPr>
          <w:rFonts w:cs="Arial"/>
          <w:color w:val="000000"/>
          <w:szCs w:val="24"/>
          <w:lang w:val="en" w:eastAsia="en-GB"/>
        </w:rPr>
        <w:t>shall make arrangements for the proper administration of their financial affairs and shall secure that one of their officers has responsibility for the administration of those affairs.”  At Harrow, this responsibility is exercised by the Director of Finance.</w:t>
      </w:r>
    </w:p>
    <w:p w14:paraId="651D7F77" w14:textId="77777777" w:rsidR="00DF27CE" w:rsidRDefault="00DF27CE" w:rsidP="00DF27CE">
      <w:pPr>
        <w:jc w:val="both"/>
        <w:rPr>
          <w:rFonts w:cs="Arial"/>
          <w:color w:val="000000"/>
          <w:szCs w:val="24"/>
          <w:lang w:val="en" w:eastAsia="en-GB"/>
        </w:rPr>
      </w:pPr>
    </w:p>
    <w:p w14:paraId="37AFD3A5" w14:textId="77777777" w:rsidR="00DF27CE" w:rsidRDefault="00DF27CE" w:rsidP="00DF27CE">
      <w:pPr>
        <w:jc w:val="both"/>
        <w:rPr>
          <w:rFonts w:cs="Arial"/>
          <w:color w:val="000000"/>
          <w:szCs w:val="24"/>
          <w:lang w:val="en" w:eastAsia="en-GB"/>
        </w:rPr>
      </w:pPr>
      <w:r>
        <w:rPr>
          <w:rFonts w:cs="Arial"/>
          <w:color w:val="000000"/>
          <w:szCs w:val="24"/>
          <w:lang w:val="en" w:eastAsia="en-GB"/>
        </w:rPr>
        <w:t>The Director is responsibility for implementing the policies agreed by the Council and Cabinet.</w:t>
      </w:r>
    </w:p>
    <w:p w14:paraId="6F572B7E" w14:textId="77777777" w:rsidR="00DF27CE" w:rsidRDefault="00DF27CE" w:rsidP="00DF27CE">
      <w:pPr>
        <w:jc w:val="both"/>
        <w:rPr>
          <w:rFonts w:cs="Arial"/>
          <w:color w:val="000000"/>
          <w:szCs w:val="24"/>
          <w:lang w:val="en" w:eastAsia="en-GB"/>
        </w:rPr>
      </w:pPr>
    </w:p>
    <w:p w14:paraId="7E2C76B5" w14:textId="77777777" w:rsidR="00DF27CE" w:rsidRDefault="00DF27CE" w:rsidP="00DF27CE">
      <w:pPr>
        <w:jc w:val="both"/>
        <w:rPr>
          <w:rFonts w:cs="Arial"/>
          <w:color w:val="000000"/>
          <w:szCs w:val="24"/>
          <w:lang w:val="en" w:eastAsia="en-GB"/>
        </w:rPr>
      </w:pPr>
      <w:r>
        <w:rPr>
          <w:rFonts w:cs="Arial"/>
          <w:color w:val="000000"/>
          <w:szCs w:val="24"/>
          <w:lang w:val="en" w:eastAsia="en-GB"/>
        </w:rPr>
        <w:t>Under the Local Government Finance Act 1988 and the Local Government Act 2003 the Director also has responsibilities in respect of budget arrangements and the adequacy of resources. In terms of Treasury Management this means that the financing costs of the Capital Programme are built into the Revenue Budget as are any assumptions on investment income.</w:t>
      </w:r>
    </w:p>
    <w:p w14:paraId="0AD2FA5D" w14:textId="77777777" w:rsidR="00DF27CE" w:rsidRDefault="00DF27CE" w:rsidP="00DF27CE">
      <w:pPr>
        <w:jc w:val="both"/>
        <w:rPr>
          <w:rFonts w:cs="Arial"/>
          <w:color w:val="000000"/>
          <w:szCs w:val="24"/>
          <w:lang w:val="en" w:eastAsia="en-GB"/>
        </w:rPr>
      </w:pPr>
    </w:p>
    <w:p w14:paraId="5ADB77F5" w14:textId="77777777" w:rsidR="00DF27CE" w:rsidRDefault="00DF27CE" w:rsidP="00DF27CE">
      <w:pPr>
        <w:jc w:val="both"/>
      </w:pPr>
      <w:r>
        <w:rPr>
          <w:rFonts w:cs="Arial"/>
          <w:color w:val="000000"/>
          <w:szCs w:val="24"/>
          <w:lang w:val="en" w:eastAsia="en-GB"/>
        </w:rPr>
        <w:lastRenderedPageBreak/>
        <w:t>The Director chairs the Treasury Management Group and agrees major treasury management decisions, specifically including any borrowing decisions, delegated to officers.</w:t>
      </w:r>
    </w:p>
    <w:p w14:paraId="3095D85B" w14:textId="77777777" w:rsidR="00DF27CE" w:rsidRDefault="00DF27CE" w:rsidP="00DF27CE">
      <w:pPr>
        <w:jc w:val="both"/>
        <w:rPr>
          <w:b/>
          <w:u w:val="single"/>
        </w:rPr>
      </w:pPr>
    </w:p>
    <w:p w14:paraId="7F99F98A" w14:textId="77777777" w:rsidR="00DF27CE" w:rsidRDefault="00DF27CE" w:rsidP="00DF27CE">
      <w:pPr>
        <w:jc w:val="both"/>
        <w:rPr>
          <w:b/>
          <w:u w:val="single"/>
        </w:rPr>
      </w:pPr>
      <w:r>
        <w:rPr>
          <w:b/>
          <w:u w:val="single"/>
        </w:rPr>
        <w:t>Treasury Management Group</w:t>
      </w:r>
    </w:p>
    <w:p w14:paraId="51072535" w14:textId="77777777" w:rsidR="00DF27CE" w:rsidRDefault="00DF27CE" w:rsidP="00DF27CE">
      <w:pPr>
        <w:jc w:val="both"/>
        <w:rPr>
          <w:b/>
          <w:u w:val="single"/>
        </w:rPr>
      </w:pPr>
    </w:p>
    <w:p w14:paraId="1A2B48AF" w14:textId="77777777" w:rsidR="00DF27CE" w:rsidRDefault="00DF27CE" w:rsidP="00DF27CE">
      <w:pPr>
        <w:autoSpaceDE w:val="0"/>
        <w:autoSpaceDN w:val="0"/>
        <w:adjustRightInd w:val="0"/>
        <w:jc w:val="both"/>
        <w:rPr>
          <w:rFonts w:cs="Arial"/>
          <w:color w:val="000000"/>
          <w:szCs w:val="24"/>
          <w:lang w:eastAsia="en-GB"/>
        </w:rPr>
      </w:pPr>
      <w:r>
        <w:rPr>
          <w:rFonts w:cs="Arial"/>
          <w:color w:val="000000"/>
          <w:szCs w:val="24"/>
          <w:lang w:eastAsia="en-GB"/>
        </w:rPr>
        <w:t>Comprises Director of Finance, Head of Strategic and Technical Finance (Deputy S151 Officer), Treasury and Pensions Manager, Senior Finance Officer and is responsible for:</w:t>
      </w:r>
    </w:p>
    <w:p w14:paraId="099020AB" w14:textId="77777777" w:rsidR="00DF27CE" w:rsidRDefault="00DF27CE" w:rsidP="0064287C">
      <w:pPr>
        <w:numPr>
          <w:ilvl w:val="0"/>
          <w:numId w:val="9"/>
        </w:numPr>
        <w:autoSpaceDE w:val="0"/>
        <w:autoSpaceDN w:val="0"/>
        <w:adjustRightInd w:val="0"/>
        <w:jc w:val="both"/>
        <w:rPr>
          <w:rFonts w:cs="Arial"/>
          <w:color w:val="000000"/>
          <w:szCs w:val="24"/>
          <w:lang w:eastAsia="en-GB"/>
        </w:rPr>
      </w:pPr>
      <w:r>
        <w:rPr>
          <w:rFonts w:cs="Arial"/>
          <w:color w:val="000000"/>
          <w:szCs w:val="24"/>
          <w:lang w:eastAsia="en-GB"/>
        </w:rPr>
        <w:t xml:space="preserve">Monitoring treasury management activity against approved strategy, policy, practices and market </w:t>
      </w:r>
      <w:proofErr w:type="gramStart"/>
      <w:r>
        <w:rPr>
          <w:rFonts w:cs="Arial"/>
          <w:color w:val="000000"/>
          <w:szCs w:val="24"/>
          <w:lang w:eastAsia="en-GB"/>
        </w:rPr>
        <w:t>conditions;</w:t>
      </w:r>
      <w:proofErr w:type="gramEnd"/>
    </w:p>
    <w:p w14:paraId="7941F159" w14:textId="77777777" w:rsidR="00DF27CE" w:rsidRDefault="00DF27CE" w:rsidP="0064287C">
      <w:pPr>
        <w:numPr>
          <w:ilvl w:val="0"/>
          <w:numId w:val="9"/>
        </w:numPr>
        <w:autoSpaceDE w:val="0"/>
        <w:autoSpaceDN w:val="0"/>
        <w:adjustRightInd w:val="0"/>
        <w:jc w:val="both"/>
        <w:rPr>
          <w:rFonts w:cs="Arial"/>
          <w:color w:val="000000"/>
          <w:szCs w:val="24"/>
          <w:lang w:eastAsia="en-GB"/>
        </w:rPr>
      </w:pPr>
      <w:r>
        <w:rPr>
          <w:rFonts w:cs="Arial"/>
          <w:color w:val="000000"/>
          <w:szCs w:val="24"/>
          <w:lang w:eastAsia="en-GB"/>
        </w:rPr>
        <w:t>Ensuring that capital expenditure plans are continually reviewed in line with budget assumptions throughout the year to forecast when borrowing will be required.</w:t>
      </w:r>
    </w:p>
    <w:p w14:paraId="71D4CA22" w14:textId="77777777" w:rsidR="00DF27CE" w:rsidRDefault="00DF27CE" w:rsidP="0064287C">
      <w:pPr>
        <w:numPr>
          <w:ilvl w:val="0"/>
          <w:numId w:val="9"/>
        </w:numPr>
        <w:autoSpaceDE w:val="0"/>
        <w:autoSpaceDN w:val="0"/>
        <w:adjustRightInd w:val="0"/>
        <w:jc w:val="both"/>
        <w:rPr>
          <w:rFonts w:cs="Arial"/>
          <w:color w:val="000000"/>
          <w:szCs w:val="24"/>
          <w:lang w:eastAsia="en-GB"/>
        </w:rPr>
      </w:pPr>
      <w:r>
        <w:rPr>
          <w:rFonts w:cs="Arial"/>
          <w:color w:val="000000"/>
          <w:szCs w:val="24"/>
          <w:lang w:eastAsia="en-GB"/>
        </w:rPr>
        <w:t xml:space="preserve">Approving changes to treasury management practices and </w:t>
      </w:r>
      <w:proofErr w:type="gramStart"/>
      <w:r>
        <w:rPr>
          <w:rFonts w:cs="Arial"/>
          <w:color w:val="000000"/>
          <w:szCs w:val="24"/>
          <w:lang w:eastAsia="en-GB"/>
        </w:rPr>
        <w:t>procedures;</w:t>
      </w:r>
      <w:proofErr w:type="gramEnd"/>
    </w:p>
    <w:p w14:paraId="0B5B5C49" w14:textId="77777777" w:rsidR="00DF27CE" w:rsidRDefault="00DF27CE" w:rsidP="0064287C">
      <w:pPr>
        <w:numPr>
          <w:ilvl w:val="0"/>
          <w:numId w:val="9"/>
        </w:numPr>
        <w:autoSpaceDE w:val="0"/>
        <w:autoSpaceDN w:val="0"/>
        <w:adjustRightInd w:val="0"/>
        <w:jc w:val="both"/>
        <w:rPr>
          <w:rFonts w:cs="Arial"/>
          <w:color w:val="000000"/>
          <w:szCs w:val="24"/>
          <w:lang w:eastAsia="en-GB"/>
        </w:rPr>
      </w:pPr>
      <w:r>
        <w:rPr>
          <w:rFonts w:cs="Arial"/>
          <w:color w:val="000000"/>
          <w:szCs w:val="24"/>
          <w:lang w:eastAsia="en-GB"/>
        </w:rPr>
        <w:t>Reviewing the performance of the treasury management function using benchmarking data on borrowing and investment provided by the Treasury Management Adviser (Link Asset Services</w:t>
      </w:r>
      <w:proofErr w:type="gramStart"/>
      <w:r>
        <w:rPr>
          <w:rFonts w:cs="Arial"/>
          <w:color w:val="000000"/>
          <w:szCs w:val="24"/>
          <w:lang w:eastAsia="en-GB"/>
        </w:rPr>
        <w:t>);</w:t>
      </w:r>
      <w:proofErr w:type="gramEnd"/>
    </w:p>
    <w:p w14:paraId="4AF01F94" w14:textId="77777777" w:rsidR="00DF27CE" w:rsidRDefault="00DF27CE" w:rsidP="0064287C">
      <w:pPr>
        <w:numPr>
          <w:ilvl w:val="0"/>
          <w:numId w:val="9"/>
        </w:numPr>
        <w:autoSpaceDE w:val="0"/>
        <w:autoSpaceDN w:val="0"/>
        <w:adjustRightInd w:val="0"/>
        <w:jc w:val="both"/>
        <w:rPr>
          <w:rFonts w:cs="Arial"/>
          <w:color w:val="000000"/>
          <w:szCs w:val="24"/>
          <w:lang w:eastAsia="en-GB"/>
        </w:rPr>
      </w:pPr>
      <w:r>
        <w:rPr>
          <w:rFonts w:cs="Arial"/>
          <w:color w:val="000000"/>
          <w:szCs w:val="24"/>
          <w:lang w:eastAsia="en-GB"/>
        </w:rPr>
        <w:t>Monitoring the performance of the appointed Treasury Management Adviser and recommending any necessary actions</w:t>
      </w:r>
    </w:p>
    <w:p w14:paraId="78F86068" w14:textId="77777777" w:rsidR="00DF27CE" w:rsidRDefault="00DF27CE" w:rsidP="0064287C">
      <w:pPr>
        <w:numPr>
          <w:ilvl w:val="0"/>
          <w:numId w:val="9"/>
        </w:numPr>
        <w:autoSpaceDE w:val="0"/>
        <w:autoSpaceDN w:val="0"/>
        <w:adjustRightInd w:val="0"/>
        <w:jc w:val="both"/>
        <w:rPr>
          <w:rFonts w:cs="Arial"/>
          <w:color w:val="000000"/>
          <w:szCs w:val="24"/>
          <w:lang w:eastAsia="en-GB"/>
        </w:rPr>
      </w:pPr>
      <w:r>
        <w:rPr>
          <w:rFonts w:cs="Arial"/>
          <w:color w:val="000000"/>
          <w:szCs w:val="24"/>
          <w:lang w:eastAsia="en-GB"/>
        </w:rPr>
        <w:t xml:space="preserve">Ensuring the adequacy of treasury management resources and skills and the effective division of responsibilities within the treasury management </w:t>
      </w:r>
      <w:proofErr w:type="gramStart"/>
      <w:r>
        <w:rPr>
          <w:rFonts w:cs="Arial"/>
          <w:color w:val="000000"/>
          <w:szCs w:val="24"/>
          <w:lang w:eastAsia="en-GB"/>
        </w:rPr>
        <w:t>function;</w:t>
      </w:r>
      <w:proofErr w:type="gramEnd"/>
    </w:p>
    <w:p w14:paraId="6B976858" w14:textId="77777777" w:rsidR="00DF27CE" w:rsidRDefault="00DF27CE" w:rsidP="0064287C">
      <w:pPr>
        <w:numPr>
          <w:ilvl w:val="0"/>
          <w:numId w:val="9"/>
        </w:numPr>
        <w:jc w:val="both"/>
        <w:rPr>
          <w:b/>
          <w:u w:val="single"/>
        </w:rPr>
      </w:pPr>
      <w:r>
        <w:rPr>
          <w:rFonts w:cs="Arial"/>
          <w:color w:val="000000"/>
          <w:szCs w:val="24"/>
          <w:lang w:eastAsia="en-GB"/>
        </w:rPr>
        <w:t>Monitoring the adequacy of internal audit reviews and the implementation of audit recommendations</w:t>
      </w:r>
    </w:p>
    <w:p w14:paraId="2A8AEDD5" w14:textId="77777777" w:rsidR="00DF27CE" w:rsidRDefault="00DF27CE" w:rsidP="00DF27CE">
      <w:pPr>
        <w:jc w:val="both"/>
        <w:rPr>
          <w:b/>
          <w:u w:val="single"/>
        </w:rPr>
      </w:pPr>
    </w:p>
    <w:p w14:paraId="2ED2D394" w14:textId="77777777" w:rsidR="00DF27CE" w:rsidRDefault="00DF27CE" w:rsidP="00DF27CE">
      <w:pPr>
        <w:jc w:val="both"/>
        <w:rPr>
          <w:b/>
          <w:u w:val="single"/>
        </w:rPr>
      </w:pPr>
      <w:r>
        <w:rPr>
          <w:b/>
          <w:u w:val="single"/>
        </w:rPr>
        <w:t>Treasury and Pensions Manager</w:t>
      </w:r>
    </w:p>
    <w:p w14:paraId="690BAE61" w14:textId="77777777" w:rsidR="00DF27CE" w:rsidRDefault="00DF27CE" w:rsidP="00DF27CE">
      <w:pPr>
        <w:jc w:val="both"/>
        <w:rPr>
          <w:b/>
          <w:u w:val="single"/>
        </w:rPr>
      </w:pPr>
    </w:p>
    <w:p w14:paraId="002DA25F" w14:textId="77777777" w:rsidR="00DF27CE" w:rsidRDefault="00DF27CE" w:rsidP="00DF27CE">
      <w:pPr>
        <w:jc w:val="both"/>
        <w:rPr>
          <w:rFonts w:cs="Arial"/>
          <w:color w:val="000000"/>
          <w:szCs w:val="24"/>
          <w:lang w:eastAsia="en-GB"/>
        </w:rPr>
      </w:pPr>
      <w:r>
        <w:rPr>
          <w:rFonts w:cs="Arial"/>
          <w:color w:val="000000"/>
          <w:szCs w:val="24"/>
          <w:lang w:eastAsia="en-GB"/>
        </w:rPr>
        <w:t xml:space="preserve">Responsible for the execution and administration of treasury management decisions, acting in accordance with the Council’s Treasury Management Strategy Statement and CIPFA’s “Standard of Professional Practice on Treasury </w:t>
      </w:r>
      <w:proofErr w:type="gramStart"/>
      <w:r>
        <w:rPr>
          <w:rFonts w:cs="Arial"/>
          <w:color w:val="000000"/>
          <w:szCs w:val="24"/>
          <w:lang w:eastAsia="en-GB"/>
        </w:rPr>
        <w:t>Management”</w:t>
      </w:r>
      <w:proofErr w:type="gramEnd"/>
    </w:p>
    <w:p w14:paraId="27ACCC06" w14:textId="77777777" w:rsidR="00DF27CE" w:rsidRDefault="00DF27CE" w:rsidP="00DF27CE">
      <w:pPr>
        <w:jc w:val="both"/>
        <w:rPr>
          <w:b/>
          <w:u w:val="single"/>
        </w:rPr>
      </w:pPr>
    </w:p>
    <w:p w14:paraId="2B1BC099" w14:textId="77777777" w:rsidR="00DF27CE" w:rsidRDefault="00DF27CE" w:rsidP="00DF27CE">
      <w:pPr>
        <w:jc w:val="both"/>
        <w:rPr>
          <w:b/>
          <w:u w:val="single"/>
        </w:rPr>
      </w:pPr>
      <w:r>
        <w:rPr>
          <w:b/>
          <w:u w:val="single"/>
        </w:rPr>
        <w:t xml:space="preserve">Treasury Team </w:t>
      </w:r>
    </w:p>
    <w:p w14:paraId="62B86CD2" w14:textId="77777777" w:rsidR="00DF27CE" w:rsidRDefault="00DF27CE" w:rsidP="00DF27CE">
      <w:pPr>
        <w:jc w:val="both"/>
        <w:rPr>
          <w:b/>
          <w:u w:val="single"/>
        </w:rPr>
      </w:pPr>
    </w:p>
    <w:p w14:paraId="583399D1" w14:textId="77777777" w:rsidR="00DF27CE" w:rsidRDefault="00DF27CE" w:rsidP="00DF27CE">
      <w:pPr>
        <w:jc w:val="both"/>
        <w:rPr>
          <w:rFonts w:cs="Arial"/>
          <w:color w:val="000000"/>
          <w:szCs w:val="24"/>
          <w:lang w:eastAsia="en-GB"/>
        </w:rPr>
      </w:pPr>
      <w:r>
        <w:rPr>
          <w:rFonts w:cs="Arial"/>
          <w:color w:val="000000"/>
          <w:szCs w:val="24"/>
          <w:lang w:eastAsia="en-GB"/>
        </w:rPr>
        <w:t xml:space="preserve">Headed by Senior Finance Officer with responsibility for day-to-day treasury and investment and borrowing activity in accordance with approved Strategy, policy, </w:t>
      </w:r>
      <w:proofErr w:type="gramStart"/>
      <w:r>
        <w:rPr>
          <w:rFonts w:cs="Arial"/>
          <w:color w:val="000000"/>
          <w:szCs w:val="24"/>
          <w:lang w:eastAsia="en-GB"/>
        </w:rPr>
        <w:t>practices</w:t>
      </w:r>
      <w:proofErr w:type="gramEnd"/>
      <w:r>
        <w:rPr>
          <w:rFonts w:cs="Arial"/>
          <w:color w:val="000000"/>
          <w:szCs w:val="24"/>
          <w:lang w:eastAsia="en-GB"/>
        </w:rPr>
        <w:t xml:space="preserve"> and procedures and for recommending changes to the Treasury Management Group</w:t>
      </w:r>
    </w:p>
    <w:p w14:paraId="4EA0C57C" w14:textId="77777777" w:rsidR="00DF27CE" w:rsidRDefault="00DF27CE" w:rsidP="00DF27CE">
      <w:pPr>
        <w:jc w:val="right"/>
        <w:rPr>
          <w:b/>
          <w:sz w:val="32"/>
          <w:szCs w:val="32"/>
        </w:rPr>
      </w:pPr>
      <w:r>
        <w:rPr>
          <w:rFonts w:cs="Arial"/>
          <w:color w:val="000000"/>
          <w:szCs w:val="24"/>
          <w:lang w:eastAsia="en-GB"/>
        </w:rPr>
        <w:br w:type="page"/>
      </w:r>
      <w:r>
        <w:rPr>
          <w:b/>
          <w:sz w:val="32"/>
          <w:szCs w:val="32"/>
        </w:rPr>
        <w:lastRenderedPageBreak/>
        <w:t>APPENDIX C</w:t>
      </w:r>
    </w:p>
    <w:p w14:paraId="08C508BB" w14:textId="77777777" w:rsidR="00DF27CE" w:rsidRDefault="00DF27CE" w:rsidP="00DF27CE">
      <w:pPr>
        <w:spacing w:before="270" w:after="180"/>
        <w:jc w:val="both"/>
        <w:rPr>
          <w:rFonts w:cs="Arial"/>
          <w:b/>
          <w:color w:val="0D0D0D"/>
          <w:szCs w:val="24"/>
        </w:rPr>
      </w:pPr>
      <w:r>
        <w:rPr>
          <w:rFonts w:cs="Arial"/>
          <w:b/>
          <w:noProof/>
          <w:sz w:val="32"/>
          <w:szCs w:val="32"/>
        </w:rPr>
        <w:t>Minimum Revenue Provision (MRP) Policy Statement</w:t>
      </w:r>
    </w:p>
    <w:p w14:paraId="573DDC34" w14:textId="2513558B" w:rsidR="00DF27CE" w:rsidRDefault="00DF27CE" w:rsidP="0019453A">
      <w:pPr>
        <w:jc w:val="both"/>
        <w:rPr>
          <w:rFonts w:cs="Arial"/>
          <w:bCs/>
          <w:szCs w:val="24"/>
        </w:rPr>
      </w:pPr>
      <w:r>
        <w:rPr>
          <w:rFonts w:cs="Arial"/>
          <w:bCs/>
          <w:szCs w:val="24"/>
        </w:rPr>
        <w:t xml:space="preserve">For capital expenditure incurred before 1 April 2008 or which in the future will be Supported Capital Expenditure, the MRP policy will be the equal annual reduction of 2% of the outstanding debt </w:t>
      </w:r>
      <w:proofErr w:type="gramStart"/>
      <w:r>
        <w:rPr>
          <w:rFonts w:cs="Arial"/>
          <w:bCs/>
          <w:szCs w:val="24"/>
        </w:rPr>
        <w:t>at</w:t>
      </w:r>
      <w:proofErr w:type="gramEnd"/>
      <w:r>
        <w:rPr>
          <w:rFonts w:cs="Arial"/>
          <w:bCs/>
          <w:szCs w:val="24"/>
        </w:rPr>
        <w:t xml:space="preserve"> 1 April 2015 for the subsequent 50 years.</w:t>
      </w:r>
    </w:p>
    <w:p w14:paraId="71C5890A" w14:textId="77777777" w:rsidR="0019453A" w:rsidRDefault="0019453A" w:rsidP="0019453A">
      <w:pPr>
        <w:jc w:val="both"/>
        <w:rPr>
          <w:rFonts w:cs="Arial"/>
          <w:bCs/>
          <w:szCs w:val="24"/>
        </w:rPr>
      </w:pPr>
    </w:p>
    <w:p w14:paraId="7B358AF5" w14:textId="77777777" w:rsidR="00DF27CE" w:rsidRDefault="00DF27CE" w:rsidP="00C7122D">
      <w:pPr>
        <w:jc w:val="both"/>
        <w:rPr>
          <w:rFonts w:cs="Arial"/>
          <w:bCs/>
          <w:szCs w:val="24"/>
        </w:rPr>
      </w:pPr>
      <w:bookmarkStart w:id="25" w:name="_Hlk63078335"/>
      <w:r>
        <w:rPr>
          <w:rFonts w:cs="Arial"/>
          <w:bCs/>
          <w:szCs w:val="24"/>
        </w:rPr>
        <w:t xml:space="preserve">For all capital expenditure financed from unsupported (prudential) borrowing (including PFI and finance leases), MRP will be based upon an asset life method in accordance with Option 3 of the guidance.  </w:t>
      </w:r>
    </w:p>
    <w:bookmarkEnd w:id="25"/>
    <w:p w14:paraId="5020D190" w14:textId="77777777" w:rsidR="00DF27CE" w:rsidRDefault="00DF27CE" w:rsidP="00DF27CE">
      <w:pPr>
        <w:jc w:val="both"/>
        <w:rPr>
          <w:rFonts w:cs="Arial"/>
          <w:bCs/>
          <w:szCs w:val="24"/>
        </w:rPr>
      </w:pPr>
    </w:p>
    <w:p w14:paraId="16146532" w14:textId="77777777" w:rsidR="00DF27CE" w:rsidRDefault="00DF27CE" w:rsidP="00C7122D">
      <w:pPr>
        <w:jc w:val="both"/>
        <w:rPr>
          <w:rFonts w:cs="Arial"/>
          <w:bCs/>
          <w:szCs w:val="24"/>
        </w:rPr>
      </w:pPr>
      <w:r>
        <w:rPr>
          <w:rFonts w:cs="Arial"/>
          <w:bCs/>
          <w:szCs w:val="24"/>
        </w:rPr>
        <w:t>In some cases where a scheme is financed by prudential borrowing it may be appropriate to vary the profile of the MRP charge to reflect the future income streams associated with the asset, whilst retaining the principle that the full amount of borrowing will be charged as MRP over the asset’s estimated useful life.</w:t>
      </w:r>
    </w:p>
    <w:p w14:paraId="277AE783" w14:textId="15F6DF6F" w:rsidR="00DF27CE" w:rsidRPr="005F53F9" w:rsidRDefault="00DF27CE" w:rsidP="00C10306">
      <w:pPr>
        <w:spacing w:before="120" w:after="120" w:line="280" w:lineRule="exact"/>
        <w:jc w:val="both"/>
        <w:rPr>
          <w:rFonts w:eastAsia="Calibri" w:cs="Arial"/>
          <w:iCs/>
          <w:szCs w:val="24"/>
          <w:lang w:eastAsia="en-GB"/>
        </w:rPr>
      </w:pPr>
      <w:r w:rsidRPr="005F53F9">
        <w:rPr>
          <w:rFonts w:eastAsia="Calibri" w:cs="Arial"/>
          <w:iCs/>
          <w:szCs w:val="24"/>
          <w:lang w:eastAsia="en-GB"/>
        </w:rPr>
        <w:t>T</w:t>
      </w:r>
      <w:r>
        <w:rPr>
          <w:rFonts w:eastAsia="Calibri" w:cs="Arial"/>
          <w:iCs/>
          <w:szCs w:val="24"/>
          <w:lang w:eastAsia="en-GB"/>
        </w:rPr>
        <w:t xml:space="preserve">he regulations allow the Council to charge VMRP, which can be used to reduce future MRP by the same amount. A change introduced by the revised MHCLG MRP Guidance is that the voluntary MRP must be disclosed in a statement to the full council </w:t>
      </w:r>
      <w:proofErr w:type="gramStart"/>
      <w:r>
        <w:rPr>
          <w:rFonts w:eastAsia="Calibri" w:cs="Arial"/>
          <w:iCs/>
          <w:szCs w:val="24"/>
          <w:lang w:eastAsia="en-GB"/>
        </w:rPr>
        <w:t>in order to</w:t>
      </w:r>
      <w:proofErr w:type="gramEnd"/>
      <w:r>
        <w:rPr>
          <w:rFonts w:eastAsia="Calibri" w:cs="Arial"/>
          <w:iCs/>
          <w:szCs w:val="24"/>
          <w:lang w:eastAsia="en-GB"/>
        </w:rPr>
        <w:t xml:space="preserve"> reclaim it in future years as deemed necessary and prudent</w:t>
      </w:r>
      <w:r w:rsidRPr="00B50B22">
        <w:rPr>
          <w:rFonts w:eastAsia="Calibri" w:cs="Arial"/>
          <w:iCs/>
          <w:szCs w:val="24"/>
          <w:lang w:eastAsia="en-GB"/>
        </w:rPr>
        <w:t>. As at March 202</w:t>
      </w:r>
      <w:r w:rsidR="006B0BCD" w:rsidRPr="00B50B22">
        <w:rPr>
          <w:rFonts w:eastAsia="Calibri" w:cs="Arial"/>
          <w:iCs/>
          <w:szCs w:val="24"/>
          <w:lang w:eastAsia="en-GB"/>
        </w:rPr>
        <w:t>3</w:t>
      </w:r>
      <w:r w:rsidRPr="00B50B22">
        <w:rPr>
          <w:rFonts w:eastAsia="Calibri" w:cs="Arial"/>
          <w:iCs/>
          <w:szCs w:val="24"/>
          <w:lang w:eastAsia="en-GB"/>
        </w:rPr>
        <w:t xml:space="preserve">, the VRP </w:t>
      </w:r>
      <w:r w:rsidR="00A24279" w:rsidRPr="00B50B22">
        <w:rPr>
          <w:rFonts w:eastAsia="Calibri" w:cs="Arial"/>
          <w:iCs/>
          <w:szCs w:val="24"/>
          <w:lang w:eastAsia="en-GB"/>
        </w:rPr>
        <w:t>was</w:t>
      </w:r>
      <w:r w:rsidRPr="00B50B22">
        <w:rPr>
          <w:rFonts w:eastAsia="Calibri" w:cs="Arial"/>
          <w:iCs/>
          <w:szCs w:val="24"/>
          <w:lang w:eastAsia="en-GB"/>
        </w:rPr>
        <w:t xml:space="preserve"> </w:t>
      </w:r>
      <w:r w:rsidR="006B0BCD" w:rsidRPr="00B50B22">
        <w:rPr>
          <w:rFonts w:eastAsia="Calibri" w:cs="Arial"/>
          <w:iCs/>
          <w:szCs w:val="24"/>
          <w:lang w:eastAsia="en-GB"/>
        </w:rPr>
        <w:t>£</w:t>
      </w:r>
      <w:r w:rsidR="00A24279" w:rsidRPr="00B50B22">
        <w:rPr>
          <w:rFonts w:eastAsia="Calibri" w:cs="Arial"/>
          <w:iCs/>
          <w:szCs w:val="24"/>
          <w:lang w:eastAsia="en-GB"/>
        </w:rPr>
        <w:t xml:space="preserve">6.8 </w:t>
      </w:r>
      <w:r w:rsidR="006B0BCD" w:rsidRPr="00B50B22">
        <w:rPr>
          <w:rFonts w:eastAsia="Calibri" w:cs="Arial"/>
          <w:iCs/>
          <w:szCs w:val="24"/>
          <w:lang w:eastAsia="en-GB"/>
        </w:rPr>
        <w:t>(31</w:t>
      </w:r>
      <w:r w:rsidR="006B0BCD" w:rsidRPr="00B50B22">
        <w:rPr>
          <w:rFonts w:eastAsia="Calibri" w:cs="Arial"/>
          <w:iCs/>
          <w:szCs w:val="24"/>
          <w:vertAlign w:val="superscript"/>
          <w:lang w:eastAsia="en-GB"/>
        </w:rPr>
        <w:t>st</w:t>
      </w:r>
      <w:r w:rsidR="006B0BCD" w:rsidRPr="00B50B22">
        <w:rPr>
          <w:rFonts w:eastAsia="Calibri" w:cs="Arial"/>
          <w:iCs/>
          <w:szCs w:val="24"/>
          <w:lang w:eastAsia="en-GB"/>
        </w:rPr>
        <w:t xml:space="preserve"> March 2022 </w:t>
      </w:r>
      <w:r w:rsidRPr="00B50B22">
        <w:rPr>
          <w:rFonts w:eastAsia="Calibri" w:cs="Arial"/>
          <w:iCs/>
          <w:szCs w:val="24"/>
          <w:lang w:eastAsia="en-GB"/>
        </w:rPr>
        <w:t>£</w:t>
      </w:r>
      <w:r w:rsidR="004C76CE" w:rsidRPr="00B50B22">
        <w:rPr>
          <w:rFonts w:eastAsia="Calibri" w:cs="Arial"/>
          <w:iCs/>
          <w:szCs w:val="24"/>
          <w:lang w:eastAsia="en-GB"/>
        </w:rPr>
        <w:t>6</w:t>
      </w:r>
      <w:r w:rsidRPr="00B50B22">
        <w:rPr>
          <w:rFonts w:eastAsia="Calibri" w:cs="Arial"/>
          <w:iCs/>
          <w:szCs w:val="24"/>
          <w:lang w:eastAsia="en-GB"/>
        </w:rPr>
        <w:t>.</w:t>
      </w:r>
      <w:r w:rsidR="00B50B22" w:rsidRPr="00B50B22">
        <w:rPr>
          <w:rFonts w:eastAsia="Calibri" w:cs="Arial"/>
          <w:iCs/>
          <w:szCs w:val="24"/>
          <w:lang w:eastAsia="en-GB"/>
        </w:rPr>
        <w:t>8</w:t>
      </w:r>
      <w:r w:rsidRPr="00B50B22">
        <w:rPr>
          <w:rFonts w:eastAsia="Calibri" w:cs="Arial"/>
          <w:iCs/>
          <w:szCs w:val="24"/>
          <w:lang w:eastAsia="en-GB"/>
        </w:rPr>
        <w:t>m.</w:t>
      </w:r>
      <w:r w:rsidR="006B0BCD" w:rsidRPr="00B50B22">
        <w:rPr>
          <w:rFonts w:eastAsia="Calibri" w:cs="Arial"/>
          <w:iCs/>
          <w:szCs w:val="24"/>
          <w:lang w:eastAsia="en-GB"/>
        </w:rPr>
        <w:t>)</w:t>
      </w:r>
      <w:r w:rsidRPr="005F53F9">
        <w:rPr>
          <w:rFonts w:eastAsia="Calibri" w:cs="Arial"/>
          <w:iCs/>
          <w:szCs w:val="24"/>
          <w:lang w:eastAsia="en-GB"/>
        </w:rPr>
        <w:t xml:space="preserve"> </w:t>
      </w:r>
    </w:p>
    <w:p w14:paraId="311056D8" w14:textId="77777777" w:rsidR="00DF27CE" w:rsidRDefault="00DF27CE" w:rsidP="00C7122D">
      <w:pPr>
        <w:jc w:val="both"/>
        <w:rPr>
          <w:rFonts w:cs="Arial"/>
          <w:bCs/>
          <w:szCs w:val="24"/>
        </w:rPr>
      </w:pPr>
      <w:r>
        <w:rPr>
          <w:rFonts w:cs="Arial"/>
          <w:bCs/>
          <w:szCs w:val="24"/>
        </w:rPr>
        <w:t xml:space="preserve">Estimated life periods and amortisation methodologies will be determined under delegated powers.  </w:t>
      </w:r>
      <w:r>
        <w:rPr>
          <w:rFonts w:eastAsia="Calibri" w:cs="Arial"/>
          <w:bCs/>
          <w:szCs w:val="24"/>
          <w:lang w:eastAsia="en-GB"/>
        </w:rPr>
        <w:t>To the extent that expenditure is not on the creation of an asset and is of a type that is subject to estimated life periods that are referred to in the guidance, these periods will generally be adopted by the Council. However, the Council reserves the right to determine useful life periods and prudent MRP in exceptional circumstances where the recommendations of the guidance would not be appropriate.</w:t>
      </w:r>
    </w:p>
    <w:p w14:paraId="5AE07688" w14:textId="77777777" w:rsidR="00DF27CE" w:rsidRDefault="00DF27CE" w:rsidP="00DF27CE">
      <w:pPr>
        <w:ind w:left="720"/>
        <w:jc w:val="both"/>
        <w:rPr>
          <w:szCs w:val="24"/>
        </w:rPr>
      </w:pPr>
    </w:p>
    <w:p w14:paraId="703025FB" w14:textId="5BB9A8F8" w:rsidR="00DF27CE" w:rsidRDefault="00DF27CE" w:rsidP="00C7122D">
      <w:pPr>
        <w:jc w:val="both"/>
        <w:rPr>
          <w:rFonts w:cs="Arial"/>
          <w:bCs/>
          <w:szCs w:val="24"/>
        </w:rPr>
      </w:pPr>
      <w:r>
        <w:rPr>
          <w:rFonts w:cs="Arial"/>
          <w:bCs/>
          <w:szCs w:val="24"/>
        </w:rPr>
        <w:t>Freehold l</w:t>
      </w:r>
      <w:r>
        <w:rPr>
          <w:rFonts w:cs="Arial"/>
          <w:szCs w:val="24"/>
        </w:rPr>
        <w:t>and</w:t>
      </w:r>
      <w:r>
        <w:rPr>
          <w:rFonts w:cs="Arial"/>
          <w:bCs/>
          <w:szCs w:val="24"/>
        </w:rPr>
        <w:t xml:space="preserve"> cannot properly have a life attributed to it, so for the purposes of Asset Life method it will be treated as equal to a maximum of 50 years</w:t>
      </w:r>
      <w:r w:rsidR="006B0BCD">
        <w:rPr>
          <w:rFonts w:cs="Arial"/>
          <w:bCs/>
          <w:szCs w:val="24"/>
        </w:rPr>
        <w:t>, in line with the maximum asset life permitted by statutory guidance.</w:t>
      </w:r>
    </w:p>
    <w:p w14:paraId="022E0194" w14:textId="77777777" w:rsidR="00DF27CE" w:rsidRDefault="00DF27CE" w:rsidP="00DF27CE">
      <w:pPr>
        <w:ind w:left="720"/>
        <w:jc w:val="both"/>
        <w:rPr>
          <w:rFonts w:eastAsia="Calibri"/>
          <w:szCs w:val="24"/>
          <w:lang w:eastAsia="en-GB"/>
        </w:rPr>
      </w:pPr>
    </w:p>
    <w:p w14:paraId="39FF33C1" w14:textId="77777777" w:rsidR="00DF27CE" w:rsidRDefault="00DF27CE" w:rsidP="00C7122D">
      <w:pPr>
        <w:jc w:val="both"/>
        <w:rPr>
          <w:rFonts w:cs="Arial"/>
          <w:bCs/>
          <w:szCs w:val="24"/>
        </w:rPr>
      </w:pPr>
      <w:r>
        <w:rPr>
          <w:rFonts w:eastAsia="Calibri" w:cs="Arial"/>
          <w:bCs/>
          <w:szCs w:val="24"/>
          <w:lang w:eastAsia="en-GB"/>
        </w:rPr>
        <w:t xml:space="preserve">As some types of capital expenditure incurred by the Council are not capable of being related to an individual asset, asset lives will be assessed on a basis which most reasonably reflects the anticipated period of benefit that arises from the expenditure.  Also, whatever type of expenditure is involved, it will be grouped together in a manner which reflects the nature of the main component of expenditure and will only be divided up in cases where there are two or more major components with substantially different useful economic lives. </w:t>
      </w:r>
    </w:p>
    <w:p w14:paraId="0E71344E" w14:textId="77777777" w:rsidR="00DF27CE" w:rsidRDefault="00DF27CE" w:rsidP="00DF27CE">
      <w:pPr>
        <w:ind w:left="720"/>
        <w:jc w:val="both"/>
        <w:rPr>
          <w:rFonts w:eastAsia="Calibri"/>
          <w:szCs w:val="24"/>
          <w:lang w:eastAsia="en-GB"/>
        </w:rPr>
      </w:pPr>
    </w:p>
    <w:p w14:paraId="27F05FDE" w14:textId="77777777" w:rsidR="00DF27CE" w:rsidRDefault="00DF27CE" w:rsidP="00C7122D">
      <w:pPr>
        <w:jc w:val="both"/>
        <w:rPr>
          <w:rFonts w:cs="Arial"/>
          <w:bCs/>
          <w:szCs w:val="24"/>
        </w:rPr>
      </w:pPr>
      <w:bookmarkStart w:id="26" w:name="_Hlk63078359"/>
      <w:r>
        <w:rPr>
          <w:rFonts w:eastAsia="Calibri" w:cs="Arial"/>
          <w:bCs/>
          <w:szCs w:val="24"/>
          <w:lang w:eastAsia="en-GB"/>
        </w:rPr>
        <w:t xml:space="preserve">Repayments included in annual </w:t>
      </w:r>
      <w:proofErr w:type="gramStart"/>
      <w:r>
        <w:rPr>
          <w:rFonts w:eastAsia="Calibri" w:cs="Arial"/>
          <w:bCs/>
          <w:szCs w:val="24"/>
          <w:lang w:eastAsia="en-GB"/>
        </w:rPr>
        <w:t>PFI</w:t>
      </w:r>
      <w:proofErr w:type="gramEnd"/>
      <w:r>
        <w:rPr>
          <w:rFonts w:eastAsia="Calibri" w:cs="Arial"/>
          <w:bCs/>
          <w:szCs w:val="24"/>
          <w:lang w:eastAsia="en-GB"/>
        </w:rPr>
        <w:t xml:space="preserve"> or finance leases are applied as MRP.</w:t>
      </w:r>
    </w:p>
    <w:bookmarkEnd w:id="26"/>
    <w:p w14:paraId="4B9A7EB8" w14:textId="77777777" w:rsidR="00DF27CE" w:rsidRDefault="00DF27CE" w:rsidP="00DF27CE">
      <w:pPr>
        <w:ind w:left="720"/>
        <w:jc w:val="both"/>
        <w:rPr>
          <w:rFonts w:eastAsia="Calibri"/>
          <w:szCs w:val="24"/>
          <w:lang w:eastAsia="en-GB"/>
        </w:rPr>
      </w:pPr>
    </w:p>
    <w:p w14:paraId="6919B3C0" w14:textId="0A6B0F6E" w:rsidR="00DF27CE" w:rsidRDefault="00DF27CE" w:rsidP="00C10306">
      <w:pPr>
        <w:jc w:val="both"/>
        <w:rPr>
          <w:rFonts w:cs="Arial"/>
          <w:bCs/>
          <w:szCs w:val="24"/>
        </w:rPr>
      </w:pPr>
      <w:r>
        <w:rPr>
          <w:rFonts w:eastAsia="Calibri" w:cs="Arial"/>
          <w:bCs/>
          <w:szCs w:val="24"/>
          <w:lang w:eastAsia="en-GB"/>
        </w:rPr>
        <w:t>Where borrowing is undertaken for the construction of new assets, MRP will only become chargeable once such assets are completed and operational.</w:t>
      </w:r>
    </w:p>
    <w:p w14:paraId="33252100" w14:textId="77777777" w:rsidR="00DF27CE" w:rsidRDefault="00DF27CE" w:rsidP="00DF27CE">
      <w:pPr>
        <w:pStyle w:val="ListParagraph"/>
        <w:rPr>
          <w:rFonts w:cs="Arial"/>
          <w:bCs/>
          <w:szCs w:val="24"/>
        </w:rPr>
      </w:pPr>
    </w:p>
    <w:p w14:paraId="058C5F0F" w14:textId="77777777" w:rsidR="00DF27CE" w:rsidRDefault="00DF27CE" w:rsidP="00DF27CE">
      <w:pPr>
        <w:rPr>
          <w:rFonts w:cs="Arial"/>
          <w:bCs/>
          <w:szCs w:val="24"/>
        </w:rPr>
        <w:sectPr w:rsidR="00DF27CE">
          <w:pgSz w:w="11909" w:h="16834"/>
          <w:pgMar w:top="720" w:right="1800" w:bottom="1440" w:left="1800" w:header="720" w:footer="432" w:gutter="0"/>
          <w:cols w:space="720"/>
        </w:sectPr>
      </w:pPr>
    </w:p>
    <w:p w14:paraId="7527825C" w14:textId="77777777" w:rsidR="00DF27CE" w:rsidRDefault="00DF27CE" w:rsidP="00DF27CE">
      <w:pPr>
        <w:jc w:val="right"/>
        <w:rPr>
          <w:b/>
          <w:sz w:val="32"/>
          <w:szCs w:val="32"/>
        </w:rPr>
      </w:pPr>
      <w:r>
        <w:rPr>
          <w:b/>
          <w:sz w:val="32"/>
          <w:szCs w:val="32"/>
        </w:rPr>
        <w:lastRenderedPageBreak/>
        <w:t>APPENDIX D</w:t>
      </w:r>
    </w:p>
    <w:p w14:paraId="07C1014E" w14:textId="2665E911" w:rsidR="00DF27CE" w:rsidRPr="00805B98" w:rsidRDefault="00DF27CE" w:rsidP="00DF27CE">
      <w:pPr>
        <w:pStyle w:val="subhead"/>
        <w:numPr>
          <w:ilvl w:val="0"/>
          <w:numId w:val="0"/>
        </w:numPr>
        <w:jc w:val="left"/>
        <w:rPr>
          <w:sz w:val="24"/>
          <w:szCs w:val="24"/>
        </w:rPr>
      </w:pPr>
      <w:bookmarkStart w:id="27" w:name="_Toc338669423"/>
      <w:r w:rsidRPr="00805B98">
        <w:rPr>
          <w:sz w:val="24"/>
          <w:szCs w:val="24"/>
        </w:rPr>
        <w:t xml:space="preserve">APPENDIX D: Link </w:t>
      </w:r>
      <w:r w:rsidR="00AB700A" w:rsidRPr="00805B98">
        <w:rPr>
          <w:sz w:val="24"/>
          <w:szCs w:val="24"/>
        </w:rPr>
        <w:t>Group</w:t>
      </w:r>
      <w:r w:rsidRPr="00805B98">
        <w:rPr>
          <w:sz w:val="24"/>
          <w:szCs w:val="24"/>
        </w:rPr>
        <w:t>: Interest Rate Forecasts 202</w:t>
      </w:r>
      <w:r w:rsidR="006B0BCD">
        <w:rPr>
          <w:sz w:val="24"/>
          <w:szCs w:val="24"/>
        </w:rPr>
        <w:t>4</w:t>
      </w:r>
      <w:r w:rsidRPr="00805B98">
        <w:rPr>
          <w:sz w:val="24"/>
          <w:szCs w:val="24"/>
        </w:rPr>
        <w:t xml:space="preserve"> – 20</w:t>
      </w:r>
      <w:bookmarkEnd w:id="27"/>
      <w:r w:rsidRPr="00805B98">
        <w:rPr>
          <w:sz w:val="24"/>
          <w:szCs w:val="24"/>
        </w:rPr>
        <w:t>2</w:t>
      </w:r>
      <w:r w:rsidR="006B0BCD">
        <w:rPr>
          <w:sz w:val="24"/>
          <w:szCs w:val="24"/>
        </w:rPr>
        <w:t>7</w:t>
      </w:r>
      <w:r w:rsidRPr="00805B98">
        <w:rPr>
          <w:sz w:val="24"/>
          <w:szCs w:val="24"/>
        </w:rPr>
        <w:t xml:space="preserve">. </w:t>
      </w:r>
    </w:p>
    <w:p w14:paraId="4D0F583A" w14:textId="77777777" w:rsidR="00AB700A" w:rsidRPr="00805B98" w:rsidRDefault="00AB700A" w:rsidP="00AB700A">
      <w:pPr>
        <w:pStyle w:val="subhead"/>
        <w:numPr>
          <w:ilvl w:val="0"/>
          <w:numId w:val="0"/>
        </w:numPr>
        <w:rPr>
          <w:b w:val="0"/>
          <w:bCs/>
          <w:spacing w:val="-5"/>
          <w:sz w:val="24"/>
          <w:szCs w:val="24"/>
        </w:rPr>
      </w:pPr>
      <w:r w:rsidRPr="00805B98">
        <w:rPr>
          <w:b w:val="0"/>
          <w:bCs/>
          <w:spacing w:val="-5"/>
          <w:sz w:val="24"/>
          <w:szCs w:val="24"/>
        </w:rPr>
        <w:t xml:space="preserve">PWLB forecasts shown below have taken into account the 20 basis point certainty rate reduction effective as of the 1st November 2012. </w:t>
      </w:r>
    </w:p>
    <w:p w14:paraId="60B88561" w14:textId="0712E85F" w:rsidR="00AB700A" w:rsidRPr="00805B98" w:rsidRDefault="00AB700A" w:rsidP="00AB700A">
      <w:pPr>
        <w:pStyle w:val="subhead"/>
        <w:numPr>
          <w:ilvl w:val="0"/>
          <w:numId w:val="0"/>
        </w:numPr>
        <w:rPr>
          <w:b w:val="0"/>
          <w:bCs/>
          <w:spacing w:val="-5"/>
          <w:sz w:val="24"/>
          <w:szCs w:val="24"/>
        </w:rPr>
      </w:pPr>
      <w:r w:rsidRPr="00805B98">
        <w:rPr>
          <w:b w:val="0"/>
          <w:bCs/>
          <w:spacing w:val="-5"/>
          <w:sz w:val="24"/>
          <w:szCs w:val="24"/>
        </w:rPr>
        <w:t>The Link</w:t>
      </w:r>
      <w:r w:rsidR="00907233" w:rsidRPr="00805B98">
        <w:rPr>
          <w:b w:val="0"/>
          <w:bCs/>
          <w:spacing w:val="-5"/>
          <w:sz w:val="24"/>
          <w:szCs w:val="24"/>
        </w:rPr>
        <w:t xml:space="preserve"> Group</w:t>
      </w:r>
      <w:r w:rsidRPr="00805B98">
        <w:rPr>
          <w:b w:val="0"/>
          <w:bCs/>
          <w:spacing w:val="-5"/>
          <w:sz w:val="24"/>
          <w:szCs w:val="24"/>
        </w:rPr>
        <w:t xml:space="preserve"> forecasts are as at </w:t>
      </w:r>
      <w:r w:rsidR="006B0BCD">
        <w:rPr>
          <w:b w:val="0"/>
          <w:bCs/>
          <w:spacing w:val="-5"/>
          <w:sz w:val="24"/>
          <w:szCs w:val="24"/>
        </w:rPr>
        <w:t>08.01.24</w:t>
      </w:r>
      <w:r w:rsidRPr="00805B98">
        <w:rPr>
          <w:b w:val="0"/>
          <w:bCs/>
          <w:spacing w:val="-5"/>
          <w:sz w:val="24"/>
          <w:szCs w:val="24"/>
        </w:rPr>
        <w:t>.</w:t>
      </w:r>
    </w:p>
    <w:p w14:paraId="125BC6CF" w14:textId="5EEECD5D" w:rsidR="00DF27CE" w:rsidRDefault="006B0BCD" w:rsidP="00DF27CE">
      <w:pPr>
        <w:pStyle w:val="subhead"/>
        <w:numPr>
          <w:ilvl w:val="0"/>
          <w:numId w:val="0"/>
        </w:numPr>
        <w:jc w:val="left"/>
        <w:rPr>
          <w:lang w:eastAsia="en-GB"/>
        </w:rPr>
      </w:pPr>
      <w:r w:rsidRPr="00742605">
        <w:drawing>
          <wp:inline distT="0" distB="0" distL="0" distR="0" wp14:anchorId="0A495463" wp14:editId="36EB5C9F">
            <wp:extent cx="5276215" cy="1103232"/>
            <wp:effectExtent l="0" t="0" r="635" b="190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276215" cy="1103232"/>
                    </a:xfrm>
                    <a:prstGeom prst="rect">
                      <a:avLst/>
                    </a:prstGeom>
                    <a:noFill/>
                    <a:ln>
                      <a:noFill/>
                    </a:ln>
                  </pic:spPr>
                </pic:pic>
              </a:graphicData>
            </a:graphic>
          </wp:inline>
        </w:drawing>
      </w:r>
    </w:p>
    <w:p w14:paraId="5C3AD648" w14:textId="77777777" w:rsidR="00DF27CE" w:rsidRDefault="00DF27CE" w:rsidP="00DF27CE">
      <w:pPr>
        <w:pStyle w:val="subhead"/>
        <w:numPr>
          <w:ilvl w:val="0"/>
          <w:numId w:val="0"/>
        </w:numPr>
        <w:rPr>
          <w:noProof w:val="0"/>
          <w:lang w:eastAsia="en-GB"/>
        </w:rPr>
      </w:pPr>
    </w:p>
    <w:p w14:paraId="583B7C38" w14:textId="77777777" w:rsidR="00DF27CE" w:rsidRDefault="00DF27CE" w:rsidP="00DF27CE">
      <w:pPr>
        <w:pStyle w:val="subhead"/>
        <w:numPr>
          <w:ilvl w:val="0"/>
          <w:numId w:val="0"/>
        </w:numPr>
        <w:rPr>
          <w:noProof w:val="0"/>
          <w:lang w:eastAsia="en-GB"/>
        </w:rPr>
      </w:pPr>
    </w:p>
    <w:p w14:paraId="7D19580B" w14:textId="77777777" w:rsidR="00DF27CE" w:rsidRDefault="00DF27CE" w:rsidP="00DF27CE">
      <w:pPr>
        <w:pStyle w:val="subhead"/>
        <w:numPr>
          <w:ilvl w:val="0"/>
          <w:numId w:val="0"/>
        </w:numPr>
        <w:rPr>
          <w:noProof w:val="0"/>
          <w:lang w:eastAsia="en-GB"/>
        </w:rPr>
      </w:pPr>
    </w:p>
    <w:p w14:paraId="505386D2" w14:textId="77777777" w:rsidR="00DF27CE" w:rsidRDefault="00DF27CE" w:rsidP="00DF27CE">
      <w:pPr>
        <w:pStyle w:val="subhead"/>
        <w:numPr>
          <w:ilvl w:val="0"/>
          <w:numId w:val="0"/>
        </w:numPr>
        <w:rPr>
          <w:noProof w:val="0"/>
          <w:lang w:eastAsia="en-GB"/>
        </w:rPr>
      </w:pPr>
    </w:p>
    <w:p w14:paraId="2F6804A0" w14:textId="77777777" w:rsidR="00DF27CE" w:rsidRDefault="00DF27CE" w:rsidP="00DF27CE">
      <w:pPr>
        <w:pStyle w:val="subhead"/>
        <w:numPr>
          <w:ilvl w:val="0"/>
          <w:numId w:val="0"/>
        </w:numPr>
        <w:rPr>
          <w:noProof w:val="0"/>
          <w:lang w:eastAsia="en-GB"/>
        </w:rPr>
      </w:pPr>
    </w:p>
    <w:p w14:paraId="44863BE7" w14:textId="5DD8D385" w:rsidR="00DF27CE" w:rsidRDefault="00DF27CE" w:rsidP="00DF27CE">
      <w:pPr>
        <w:pStyle w:val="subhead"/>
        <w:numPr>
          <w:ilvl w:val="0"/>
          <w:numId w:val="0"/>
        </w:numPr>
        <w:rPr>
          <w:noProof w:val="0"/>
          <w:lang w:eastAsia="en-GB"/>
        </w:rPr>
      </w:pPr>
    </w:p>
    <w:p w14:paraId="623772E6" w14:textId="043FDCBE" w:rsidR="00907233" w:rsidRDefault="00907233" w:rsidP="00DF27CE">
      <w:pPr>
        <w:pStyle w:val="subhead"/>
        <w:numPr>
          <w:ilvl w:val="0"/>
          <w:numId w:val="0"/>
        </w:numPr>
        <w:rPr>
          <w:noProof w:val="0"/>
          <w:lang w:eastAsia="en-GB"/>
        </w:rPr>
      </w:pPr>
    </w:p>
    <w:p w14:paraId="210409D1" w14:textId="32F95185" w:rsidR="00907233" w:rsidRDefault="00907233" w:rsidP="00DF27CE">
      <w:pPr>
        <w:pStyle w:val="subhead"/>
        <w:numPr>
          <w:ilvl w:val="0"/>
          <w:numId w:val="0"/>
        </w:numPr>
        <w:rPr>
          <w:noProof w:val="0"/>
          <w:lang w:eastAsia="en-GB"/>
        </w:rPr>
      </w:pPr>
    </w:p>
    <w:p w14:paraId="21B936CE" w14:textId="59784E5B" w:rsidR="00907233" w:rsidRDefault="00907233" w:rsidP="00DF27CE">
      <w:pPr>
        <w:pStyle w:val="subhead"/>
        <w:numPr>
          <w:ilvl w:val="0"/>
          <w:numId w:val="0"/>
        </w:numPr>
        <w:rPr>
          <w:noProof w:val="0"/>
          <w:lang w:eastAsia="en-GB"/>
        </w:rPr>
      </w:pPr>
    </w:p>
    <w:p w14:paraId="7762EADF" w14:textId="28D969D8" w:rsidR="00907233" w:rsidRDefault="00907233" w:rsidP="00DF27CE">
      <w:pPr>
        <w:pStyle w:val="subhead"/>
        <w:numPr>
          <w:ilvl w:val="0"/>
          <w:numId w:val="0"/>
        </w:numPr>
        <w:rPr>
          <w:noProof w:val="0"/>
          <w:lang w:eastAsia="en-GB"/>
        </w:rPr>
      </w:pPr>
    </w:p>
    <w:p w14:paraId="37BE4E9F" w14:textId="3D2938A9" w:rsidR="00907233" w:rsidRDefault="00907233" w:rsidP="00DF27CE">
      <w:pPr>
        <w:pStyle w:val="subhead"/>
        <w:numPr>
          <w:ilvl w:val="0"/>
          <w:numId w:val="0"/>
        </w:numPr>
        <w:rPr>
          <w:noProof w:val="0"/>
          <w:lang w:eastAsia="en-GB"/>
        </w:rPr>
      </w:pPr>
    </w:p>
    <w:p w14:paraId="716F823C" w14:textId="5DE425A4" w:rsidR="00BD5396" w:rsidRDefault="00BD5396" w:rsidP="00DF27CE">
      <w:pPr>
        <w:pStyle w:val="subhead"/>
        <w:numPr>
          <w:ilvl w:val="0"/>
          <w:numId w:val="0"/>
        </w:numPr>
        <w:rPr>
          <w:noProof w:val="0"/>
          <w:lang w:eastAsia="en-GB"/>
        </w:rPr>
      </w:pPr>
    </w:p>
    <w:p w14:paraId="1484E982" w14:textId="49FEED67" w:rsidR="00BD5396" w:rsidRDefault="00BD5396" w:rsidP="00DF27CE">
      <w:pPr>
        <w:pStyle w:val="subhead"/>
        <w:numPr>
          <w:ilvl w:val="0"/>
          <w:numId w:val="0"/>
        </w:numPr>
        <w:rPr>
          <w:noProof w:val="0"/>
          <w:lang w:eastAsia="en-GB"/>
        </w:rPr>
      </w:pPr>
    </w:p>
    <w:p w14:paraId="53E665B4" w14:textId="48D889B3" w:rsidR="00BD5396" w:rsidRDefault="00BD5396" w:rsidP="00DF27CE">
      <w:pPr>
        <w:pStyle w:val="subhead"/>
        <w:numPr>
          <w:ilvl w:val="0"/>
          <w:numId w:val="0"/>
        </w:numPr>
        <w:rPr>
          <w:noProof w:val="0"/>
          <w:lang w:eastAsia="en-GB"/>
        </w:rPr>
      </w:pPr>
    </w:p>
    <w:p w14:paraId="362773AA" w14:textId="228D2038" w:rsidR="00BD5396" w:rsidRDefault="00BD5396" w:rsidP="00DF27CE">
      <w:pPr>
        <w:pStyle w:val="subhead"/>
        <w:numPr>
          <w:ilvl w:val="0"/>
          <w:numId w:val="0"/>
        </w:numPr>
        <w:rPr>
          <w:noProof w:val="0"/>
          <w:lang w:eastAsia="en-GB"/>
        </w:rPr>
      </w:pPr>
    </w:p>
    <w:p w14:paraId="1B19C78F" w14:textId="470969CD" w:rsidR="00BD5396" w:rsidRDefault="00BD5396" w:rsidP="00DF27CE">
      <w:pPr>
        <w:pStyle w:val="subhead"/>
        <w:numPr>
          <w:ilvl w:val="0"/>
          <w:numId w:val="0"/>
        </w:numPr>
        <w:rPr>
          <w:noProof w:val="0"/>
          <w:lang w:eastAsia="en-GB"/>
        </w:rPr>
      </w:pPr>
    </w:p>
    <w:p w14:paraId="4F2CC7CC" w14:textId="03F9AD49" w:rsidR="00BD5396" w:rsidRDefault="00BD5396" w:rsidP="00DF27CE">
      <w:pPr>
        <w:pStyle w:val="subhead"/>
        <w:numPr>
          <w:ilvl w:val="0"/>
          <w:numId w:val="0"/>
        </w:numPr>
        <w:rPr>
          <w:noProof w:val="0"/>
          <w:lang w:eastAsia="en-GB"/>
        </w:rPr>
      </w:pPr>
    </w:p>
    <w:p w14:paraId="1C798AA2" w14:textId="77777777" w:rsidR="00BD5396" w:rsidRDefault="00BD5396" w:rsidP="00DF27CE">
      <w:pPr>
        <w:pStyle w:val="subhead"/>
        <w:numPr>
          <w:ilvl w:val="0"/>
          <w:numId w:val="0"/>
        </w:numPr>
        <w:rPr>
          <w:noProof w:val="0"/>
          <w:lang w:eastAsia="en-GB"/>
        </w:rPr>
      </w:pPr>
    </w:p>
    <w:p w14:paraId="60371054" w14:textId="77777777" w:rsidR="00907233" w:rsidRDefault="00907233" w:rsidP="00DF27CE">
      <w:pPr>
        <w:pStyle w:val="subhead"/>
        <w:numPr>
          <w:ilvl w:val="0"/>
          <w:numId w:val="0"/>
        </w:numPr>
        <w:rPr>
          <w:noProof w:val="0"/>
          <w:lang w:eastAsia="en-GB"/>
        </w:rPr>
      </w:pPr>
    </w:p>
    <w:p w14:paraId="6CB4D539" w14:textId="77777777" w:rsidR="00DF27CE" w:rsidRDefault="00DF27CE" w:rsidP="00DF27CE">
      <w:pPr>
        <w:pStyle w:val="subhead"/>
        <w:numPr>
          <w:ilvl w:val="0"/>
          <w:numId w:val="0"/>
        </w:numPr>
        <w:ind w:left="5760"/>
        <w:jc w:val="right"/>
        <w:rPr>
          <w:bCs/>
          <w:noProof w:val="0"/>
          <w:sz w:val="24"/>
          <w:szCs w:val="24"/>
          <w:lang w:eastAsia="en-GB"/>
        </w:rPr>
      </w:pPr>
      <w:r>
        <w:rPr>
          <w:bCs/>
          <w:sz w:val="32"/>
          <w:szCs w:val="32"/>
        </w:rPr>
        <w:lastRenderedPageBreak/>
        <w:t>APPENDIX E</w:t>
      </w:r>
    </w:p>
    <w:p w14:paraId="7064D068" w14:textId="77777777" w:rsidR="00DF27CE" w:rsidRPr="00805B98" w:rsidRDefault="00DF27CE" w:rsidP="00DF27CE">
      <w:pPr>
        <w:pStyle w:val="subhead"/>
        <w:numPr>
          <w:ilvl w:val="0"/>
          <w:numId w:val="0"/>
        </w:numPr>
        <w:rPr>
          <w:noProof w:val="0"/>
          <w:sz w:val="24"/>
          <w:szCs w:val="24"/>
          <w:lang w:eastAsia="en-GB"/>
        </w:rPr>
      </w:pPr>
      <w:r w:rsidRPr="00805B98">
        <w:rPr>
          <w:noProof w:val="0"/>
          <w:sz w:val="24"/>
          <w:szCs w:val="24"/>
          <w:lang w:eastAsia="en-GB"/>
        </w:rPr>
        <w:t>Economic Background</w:t>
      </w:r>
    </w:p>
    <w:p w14:paraId="2D28D0A1" w14:textId="77777777" w:rsidR="00D079FE" w:rsidRPr="000A5753" w:rsidRDefault="00D079FE" w:rsidP="0064287C">
      <w:pPr>
        <w:numPr>
          <w:ilvl w:val="0"/>
          <w:numId w:val="30"/>
        </w:numPr>
        <w:spacing w:after="120" w:line="280" w:lineRule="exact"/>
        <w:ind w:left="425" w:hanging="425"/>
        <w:jc w:val="both"/>
        <w:rPr>
          <w:rFonts w:eastAsiaTheme="minorHAnsi" w:cs="Arial"/>
          <w:sz w:val="22"/>
          <w:szCs w:val="22"/>
        </w:rPr>
      </w:pPr>
      <w:bookmarkStart w:id="28" w:name="_Hlk126679196"/>
      <w:r w:rsidRPr="000A5753">
        <w:rPr>
          <w:rFonts w:eastAsiaTheme="minorHAnsi" w:cs="Arial"/>
          <w:sz w:val="22"/>
          <w:szCs w:val="22"/>
        </w:rPr>
        <w:t xml:space="preserve">The third quarter of 2023/24 saw: </w:t>
      </w:r>
    </w:p>
    <w:p w14:paraId="11D86E28" w14:textId="77777777" w:rsidR="00D079FE" w:rsidRPr="000A5753" w:rsidRDefault="00D079FE" w:rsidP="0064287C">
      <w:pPr>
        <w:numPr>
          <w:ilvl w:val="0"/>
          <w:numId w:val="28"/>
        </w:numPr>
        <w:spacing w:after="120" w:line="280" w:lineRule="exact"/>
        <w:jc w:val="both"/>
        <w:rPr>
          <w:rFonts w:eastAsiaTheme="minorHAnsi" w:cs="Arial"/>
          <w:sz w:val="22"/>
          <w:szCs w:val="22"/>
        </w:rPr>
      </w:pPr>
      <w:r w:rsidRPr="000A5753">
        <w:rPr>
          <w:rFonts w:eastAsiaTheme="minorHAnsi" w:cs="Arial"/>
          <w:sz w:val="22"/>
          <w:szCs w:val="22"/>
        </w:rPr>
        <w:t>A 0.3% m/m decline in real GDP in October, potentially partly due to unseasonably wet weather, but also due to the ongoing drag from higher interest rates.  Growth for the second quarter, ending 30</w:t>
      </w:r>
      <w:r w:rsidRPr="000A5753">
        <w:rPr>
          <w:rFonts w:eastAsiaTheme="minorHAnsi" w:cs="Arial"/>
          <w:sz w:val="22"/>
          <w:szCs w:val="22"/>
          <w:vertAlign w:val="superscript"/>
        </w:rPr>
        <w:t>th</w:t>
      </w:r>
      <w:r w:rsidRPr="000A5753">
        <w:rPr>
          <w:rFonts w:eastAsiaTheme="minorHAnsi" w:cs="Arial"/>
          <w:sz w:val="22"/>
          <w:szCs w:val="22"/>
        </w:rPr>
        <w:t xml:space="preserve"> September, was revised downwards to -0.1% and growth on an annual basis was also revised downwards, to </w:t>
      </w:r>
      <w:proofErr w:type="gramStart"/>
      <w:r w:rsidRPr="000A5753">
        <w:rPr>
          <w:rFonts w:eastAsiaTheme="minorHAnsi" w:cs="Arial"/>
          <w:sz w:val="22"/>
          <w:szCs w:val="22"/>
        </w:rPr>
        <w:t>0.3%;</w:t>
      </w:r>
      <w:proofErr w:type="gramEnd"/>
      <w:r w:rsidRPr="000A5753">
        <w:rPr>
          <w:rFonts w:eastAsiaTheme="minorHAnsi" w:cs="Arial"/>
          <w:sz w:val="22"/>
          <w:szCs w:val="22"/>
        </w:rPr>
        <w:t xml:space="preserve"> </w:t>
      </w:r>
    </w:p>
    <w:p w14:paraId="3706BAD1" w14:textId="77777777" w:rsidR="00D079FE" w:rsidRPr="000A5753" w:rsidRDefault="00D079FE" w:rsidP="0064287C">
      <w:pPr>
        <w:numPr>
          <w:ilvl w:val="0"/>
          <w:numId w:val="28"/>
        </w:numPr>
        <w:spacing w:after="120" w:line="280" w:lineRule="exact"/>
        <w:jc w:val="both"/>
        <w:rPr>
          <w:rFonts w:eastAsiaTheme="minorHAnsi" w:cs="Arial"/>
          <w:sz w:val="22"/>
          <w:szCs w:val="22"/>
        </w:rPr>
      </w:pPr>
      <w:r w:rsidRPr="000A5753">
        <w:rPr>
          <w:rFonts w:eastAsiaTheme="minorHAnsi" w:cs="Arial"/>
          <w:sz w:val="22"/>
          <w:szCs w:val="22"/>
        </w:rPr>
        <w:t xml:space="preserve">A sharp fall in wage growth, with the headline 3myy rate declining from 8.0% in September to 7.2% in October, although the ONS “experimental” rate of unemployment has remained low at </w:t>
      </w:r>
      <w:proofErr w:type="gramStart"/>
      <w:r w:rsidRPr="000A5753">
        <w:rPr>
          <w:rFonts w:eastAsiaTheme="minorHAnsi" w:cs="Arial"/>
          <w:sz w:val="22"/>
          <w:szCs w:val="22"/>
        </w:rPr>
        <w:t>4.2%;</w:t>
      </w:r>
      <w:proofErr w:type="gramEnd"/>
    </w:p>
    <w:p w14:paraId="1839A5F1" w14:textId="77777777" w:rsidR="00D079FE" w:rsidRPr="000A5753" w:rsidRDefault="00D079FE" w:rsidP="0064287C">
      <w:pPr>
        <w:numPr>
          <w:ilvl w:val="0"/>
          <w:numId w:val="28"/>
        </w:numPr>
        <w:spacing w:after="120" w:line="280" w:lineRule="exact"/>
        <w:jc w:val="both"/>
        <w:rPr>
          <w:rFonts w:eastAsiaTheme="minorHAnsi" w:cs="Arial"/>
          <w:sz w:val="22"/>
          <w:szCs w:val="22"/>
        </w:rPr>
      </w:pPr>
      <w:r w:rsidRPr="000A5753">
        <w:rPr>
          <w:rFonts w:eastAsiaTheme="minorHAnsi" w:cs="Arial"/>
          <w:sz w:val="22"/>
          <w:szCs w:val="22"/>
        </w:rPr>
        <w:t xml:space="preserve">CPI inflation continuing on its downward trajectory, from 8.7% in April to 4.6% in October, then again to 3.9% in </w:t>
      </w:r>
      <w:proofErr w:type="gramStart"/>
      <w:r w:rsidRPr="000A5753">
        <w:rPr>
          <w:rFonts w:eastAsiaTheme="minorHAnsi" w:cs="Arial"/>
          <w:sz w:val="22"/>
          <w:szCs w:val="22"/>
        </w:rPr>
        <w:t>November;</w:t>
      </w:r>
      <w:proofErr w:type="gramEnd"/>
    </w:p>
    <w:p w14:paraId="769FC2FF" w14:textId="77777777" w:rsidR="00D079FE" w:rsidRPr="000A5753" w:rsidRDefault="00D079FE" w:rsidP="0064287C">
      <w:pPr>
        <w:numPr>
          <w:ilvl w:val="0"/>
          <w:numId w:val="28"/>
        </w:numPr>
        <w:spacing w:after="120" w:line="280" w:lineRule="exact"/>
        <w:jc w:val="both"/>
        <w:rPr>
          <w:rFonts w:eastAsiaTheme="minorHAnsi" w:cs="Arial"/>
          <w:sz w:val="22"/>
          <w:szCs w:val="22"/>
        </w:rPr>
      </w:pPr>
      <w:r w:rsidRPr="000A5753">
        <w:rPr>
          <w:rFonts w:eastAsiaTheme="minorHAnsi" w:cs="Arial"/>
          <w:sz w:val="22"/>
          <w:szCs w:val="22"/>
        </w:rPr>
        <w:t xml:space="preserve">Core CPI inflation decreasing from April and May’s 31 years’ high of 7.1% to 5.1% in November, the lowest rate since January </w:t>
      </w:r>
      <w:proofErr w:type="gramStart"/>
      <w:r w:rsidRPr="000A5753">
        <w:rPr>
          <w:rFonts w:eastAsiaTheme="minorHAnsi" w:cs="Arial"/>
          <w:sz w:val="22"/>
          <w:szCs w:val="22"/>
        </w:rPr>
        <w:t>2022;</w:t>
      </w:r>
      <w:proofErr w:type="gramEnd"/>
    </w:p>
    <w:p w14:paraId="6A08B688" w14:textId="77777777" w:rsidR="00D079FE" w:rsidRPr="000A5753" w:rsidRDefault="00D079FE" w:rsidP="0064287C">
      <w:pPr>
        <w:numPr>
          <w:ilvl w:val="0"/>
          <w:numId w:val="28"/>
        </w:numPr>
        <w:spacing w:after="120" w:line="280" w:lineRule="exact"/>
        <w:jc w:val="both"/>
        <w:rPr>
          <w:rFonts w:eastAsiaTheme="minorHAnsi" w:cs="Arial"/>
          <w:sz w:val="22"/>
          <w:szCs w:val="22"/>
        </w:rPr>
      </w:pPr>
      <w:r w:rsidRPr="000A5753">
        <w:rPr>
          <w:rFonts w:eastAsiaTheme="minorHAnsi" w:cs="Arial"/>
          <w:sz w:val="22"/>
          <w:szCs w:val="22"/>
        </w:rPr>
        <w:t xml:space="preserve">The Bank of England holding </w:t>
      </w:r>
      <w:r>
        <w:rPr>
          <w:rFonts w:eastAsiaTheme="minorHAnsi" w:cs="Arial"/>
          <w:sz w:val="22"/>
          <w:szCs w:val="22"/>
        </w:rPr>
        <w:t>Bank Rate</w:t>
      </w:r>
      <w:r w:rsidRPr="000A5753">
        <w:rPr>
          <w:rFonts w:eastAsiaTheme="minorHAnsi" w:cs="Arial"/>
          <w:sz w:val="22"/>
          <w:szCs w:val="22"/>
        </w:rPr>
        <w:t xml:space="preserve"> at 5.25% in November and </w:t>
      </w:r>
      <w:proofErr w:type="gramStart"/>
      <w:r w:rsidRPr="000A5753">
        <w:rPr>
          <w:rFonts w:eastAsiaTheme="minorHAnsi" w:cs="Arial"/>
          <w:sz w:val="22"/>
          <w:szCs w:val="22"/>
        </w:rPr>
        <w:t>December;</w:t>
      </w:r>
      <w:proofErr w:type="gramEnd"/>
    </w:p>
    <w:p w14:paraId="6B4F7005" w14:textId="77777777" w:rsidR="00D079FE" w:rsidRPr="000A5753" w:rsidRDefault="00D079FE" w:rsidP="0064287C">
      <w:pPr>
        <w:numPr>
          <w:ilvl w:val="0"/>
          <w:numId w:val="28"/>
        </w:numPr>
        <w:spacing w:after="120" w:line="280" w:lineRule="exact"/>
        <w:jc w:val="both"/>
        <w:rPr>
          <w:rFonts w:eastAsiaTheme="minorHAnsi" w:cs="Arial"/>
          <w:sz w:val="22"/>
          <w:szCs w:val="22"/>
        </w:rPr>
      </w:pPr>
      <w:r w:rsidRPr="000A5753">
        <w:rPr>
          <w:rFonts w:eastAsiaTheme="minorHAnsi" w:cs="Arial"/>
          <w:sz w:val="22"/>
          <w:szCs w:val="22"/>
        </w:rPr>
        <w:t>A steady fall in 10-year gilt yields as investors revised their interest rate expectations lower.</w:t>
      </w:r>
    </w:p>
    <w:p w14:paraId="6189703E" w14:textId="77777777" w:rsidR="00D079FE" w:rsidRPr="000A5753" w:rsidRDefault="00D079FE" w:rsidP="0064287C">
      <w:pPr>
        <w:numPr>
          <w:ilvl w:val="0"/>
          <w:numId w:val="30"/>
        </w:numPr>
        <w:spacing w:after="120" w:line="280" w:lineRule="exact"/>
        <w:ind w:left="425" w:hanging="425"/>
        <w:jc w:val="both"/>
        <w:rPr>
          <w:rFonts w:eastAsiaTheme="minorHAnsi" w:cs="Arial"/>
          <w:sz w:val="22"/>
          <w:szCs w:val="22"/>
        </w:rPr>
      </w:pPr>
      <w:r w:rsidRPr="000A5753">
        <w:rPr>
          <w:rFonts w:eastAsiaTheme="minorHAnsi" w:cs="Arial"/>
          <w:sz w:val="22"/>
          <w:szCs w:val="22"/>
        </w:rPr>
        <w:t>The revision of GDP data in Q2 to a 0.1% q/q fall may mean the mildest of mild recessions has begun. Indeed, real GDP in October fell 0.3% m/m which does suggest that the economy may stagnate again in Q3. The weakness in October may partly be due to the unseasonably wet weather. That said, as the weakness was broad based it may also be the case that the ongoing drag from higher interest rates is more than offsetting any boost from the rise in real wages.</w:t>
      </w:r>
    </w:p>
    <w:p w14:paraId="70A3E13F" w14:textId="77777777" w:rsidR="00D079FE" w:rsidRPr="000A5753" w:rsidRDefault="00D079FE" w:rsidP="0064287C">
      <w:pPr>
        <w:numPr>
          <w:ilvl w:val="0"/>
          <w:numId w:val="30"/>
        </w:numPr>
        <w:spacing w:after="120" w:line="280" w:lineRule="exact"/>
        <w:ind w:left="425" w:hanging="425"/>
        <w:jc w:val="both"/>
        <w:rPr>
          <w:rFonts w:eastAsiaTheme="minorHAnsi" w:cs="Arial"/>
          <w:sz w:val="22"/>
          <w:szCs w:val="22"/>
        </w:rPr>
      </w:pPr>
      <w:r w:rsidRPr="000A5753">
        <w:rPr>
          <w:rFonts w:eastAsiaTheme="minorHAnsi" w:cs="Arial"/>
          <w:sz w:val="22"/>
          <w:szCs w:val="22"/>
        </w:rPr>
        <w:t xml:space="preserve">However, the rise in the flash composite activity Purchasing Managers Index, from 50.7 in November to 51.7 in December, did increase the chances of the economy avoiding a contraction in Q3. The improvement was entirely driven by the increase in the services activity balance from 50.9 to 52.7. (Scores above 50 </w:t>
      </w:r>
      <w:proofErr w:type="gramStart"/>
      <w:r w:rsidRPr="000A5753">
        <w:rPr>
          <w:rFonts w:eastAsiaTheme="minorHAnsi" w:cs="Arial"/>
          <w:sz w:val="22"/>
          <w:szCs w:val="22"/>
        </w:rPr>
        <w:t>point</w:t>
      </w:r>
      <w:proofErr w:type="gramEnd"/>
      <w:r w:rsidRPr="000A5753">
        <w:rPr>
          <w:rFonts w:eastAsiaTheme="minorHAnsi" w:cs="Arial"/>
          <w:sz w:val="22"/>
          <w:szCs w:val="22"/>
        </w:rPr>
        <w:t xml:space="preserve"> to expansion in the economy, although only tepid in this instance.)  The press release noted that this was primarily driven by a revival in consumer demand in the technological and financial services sectors. This chimes with the further improvement in the GfK measure of consumer confidence in December, from -24 to -22. The services PMI is now consistent with non-retail services output growing by 0.5% q/q in Q3, but this is in stark contrast to the manufacturing sector where the output balance slumped from 49.2 to 45.9 and, at face value, the output balance is consistent with a 1.5% q/q fall in manufacturing output in Q3.</w:t>
      </w:r>
    </w:p>
    <w:p w14:paraId="5A052F36" w14:textId="77777777" w:rsidR="00D079FE" w:rsidRPr="000A5753" w:rsidRDefault="00D079FE" w:rsidP="0064287C">
      <w:pPr>
        <w:numPr>
          <w:ilvl w:val="0"/>
          <w:numId w:val="30"/>
        </w:numPr>
        <w:spacing w:after="120" w:line="280" w:lineRule="exact"/>
        <w:ind w:left="425" w:hanging="425"/>
        <w:jc w:val="both"/>
        <w:rPr>
          <w:rFonts w:eastAsiaTheme="minorHAnsi" w:cs="Arial"/>
          <w:sz w:val="22"/>
          <w:szCs w:val="22"/>
        </w:rPr>
      </w:pPr>
      <w:r w:rsidRPr="000A5753">
        <w:rPr>
          <w:rFonts w:eastAsiaTheme="minorHAnsi" w:cs="Arial"/>
          <w:sz w:val="22"/>
          <w:szCs w:val="22"/>
        </w:rPr>
        <w:t xml:space="preserve">The 0.3% m/m fall in retail sales volumes in October means that after contracting by 1.0% q/q (which was downwardly revised from -0.8% q/q) in Q2, retail activity remained weak at the start of Q3. That suggests higher interest rates are taking a bigger toll on real consumer spending. </w:t>
      </w:r>
    </w:p>
    <w:p w14:paraId="13F1183E" w14:textId="77777777" w:rsidR="00D079FE" w:rsidRPr="000A5753" w:rsidRDefault="00D079FE" w:rsidP="0064287C">
      <w:pPr>
        <w:numPr>
          <w:ilvl w:val="0"/>
          <w:numId w:val="30"/>
        </w:numPr>
        <w:spacing w:after="120" w:line="280" w:lineRule="exact"/>
        <w:ind w:left="425" w:hanging="425"/>
        <w:jc w:val="both"/>
        <w:rPr>
          <w:rFonts w:eastAsiaTheme="minorHAnsi" w:cs="Arial"/>
          <w:sz w:val="22"/>
          <w:szCs w:val="22"/>
        </w:rPr>
      </w:pPr>
      <w:r w:rsidRPr="000A5753">
        <w:rPr>
          <w:rFonts w:eastAsiaTheme="minorHAnsi" w:cs="Arial"/>
          <w:sz w:val="22"/>
          <w:szCs w:val="22"/>
        </w:rPr>
        <w:t xml:space="preserve">Higher interest rates have filtered through the financial channels and weakened the housing market but, overall, it remains surprisingly resilient with </w:t>
      </w:r>
      <w:r>
        <w:rPr>
          <w:rFonts w:eastAsiaTheme="minorHAnsi" w:cs="Arial"/>
          <w:sz w:val="22"/>
          <w:szCs w:val="22"/>
        </w:rPr>
        <w:t>the Halifax house price index recently pointing to a 1.7% year on year increase whilst</w:t>
      </w:r>
      <w:r w:rsidRPr="000A5753">
        <w:rPr>
          <w:rFonts w:eastAsiaTheme="minorHAnsi" w:cs="Arial"/>
          <w:sz w:val="22"/>
          <w:szCs w:val="22"/>
        </w:rPr>
        <w:t xml:space="preserve"> Nationwide</w:t>
      </w:r>
      <w:r>
        <w:rPr>
          <w:rFonts w:eastAsiaTheme="minorHAnsi" w:cs="Arial"/>
          <w:sz w:val="22"/>
          <w:szCs w:val="22"/>
        </w:rPr>
        <w:t xml:space="preserve">’s December data pointed to a </w:t>
      </w:r>
      <w:r w:rsidRPr="000A5753">
        <w:rPr>
          <w:rFonts w:eastAsiaTheme="minorHAnsi" w:cs="Arial"/>
          <w:sz w:val="22"/>
          <w:szCs w:val="22"/>
        </w:rPr>
        <w:t>-1.8%</w:t>
      </w:r>
      <w:r>
        <w:rPr>
          <w:rFonts w:eastAsiaTheme="minorHAnsi" w:cs="Arial"/>
          <w:sz w:val="22"/>
          <w:szCs w:val="22"/>
        </w:rPr>
        <w:t xml:space="preserve"> year on year decrease</w:t>
      </w:r>
      <w:r w:rsidRPr="000A5753">
        <w:rPr>
          <w:rFonts w:eastAsiaTheme="minorHAnsi" w:cs="Arial"/>
          <w:sz w:val="22"/>
          <w:szCs w:val="22"/>
        </w:rPr>
        <w:t xml:space="preserve">.  However, </w:t>
      </w:r>
      <w:r w:rsidRPr="000A5753">
        <w:rPr>
          <w:rFonts w:eastAsiaTheme="minorHAnsi" w:cs="Arial"/>
          <w:sz w:val="22"/>
          <w:szCs w:val="22"/>
        </w:rPr>
        <w:lastRenderedPageBreak/>
        <w:t xml:space="preserve">the full weakness in real consumer spending and real business investment has yet to come as currently it is estimated that around two thirds to a half of the impact of higher interest rates on household interest payments has yet to be felt. </w:t>
      </w:r>
    </w:p>
    <w:p w14:paraId="233BAC09" w14:textId="77777777" w:rsidR="00D079FE" w:rsidRPr="000A5753" w:rsidRDefault="00D079FE" w:rsidP="0064287C">
      <w:pPr>
        <w:numPr>
          <w:ilvl w:val="0"/>
          <w:numId w:val="30"/>
        </w:numPr>
        <w:spacing w:after="120" w:line="280" w:lineRule="exact"/>
        <w:ind w:left="425" w:hanging="425"/>
        <w:jc w:val="both"/>
        <w:rPr>
          <w:rFonts w:eastAsiaTheme="minorHAnsi" w:cs="Arial"/>
          <w:sz w:val="22"/>
          <w:szCs w:val="22"/>
        </w:rPr>
      </w:pPr>
      <w:r w:rsidRPr="000A5753">
        <w:rPr>
          <w:rFonts w:eastAsiaTheme="minorHAnsi" w:cs="Arial"/>
          <w:sz w:val="22"/>
          <w:szCs w:val="22"/>
        </w:rPr>
        <w:t>Overall, we expect real GDP growth to remain subdued throughout 2024 as the drag from higher interest rates is protracted but a fading of the cost-of-living crisis and interest rate cuts in the second half of 2024 will support a recovery in GDP growth in 2025.</w:t>
      </w:r>
    </w:p>
    <w:p w14:paraId="4343A0DF" w14:textId="77777777" w:rsidR="00D079FE" w:rsidRPr="000A5753" w:rsidRDefault="00D079FE" w:rsidP="0064287C">
      <w:pPr>
        <w:numPr>
          <w:ilvl w:val="0"/>
          <w:numId w:val="30"/>
        </w:numPr>
        <w:spacing w:after="120" w:line="280" w:lineRule="exact"/>
        <w:ind w:left="425" w:hanging="425"/>
        <w:jc w:val="both"/>
        <w:rPr>
          <w:rFonts w:eastAsiaTheme="minorHAnsi" w:cs="Arial"/>
          <w:sz w:val="22"/>
          <w:szCs w:val="22"/>
        </w:rPr>
      </w:pPr>
      <w:r w:rsidRPr="000A5753">
        <w:rPr>
          <w:rFonts w:eastAsiaTheme="minorHAnsi" w:cs="Arial"/>
          <w:sz w:val="22"/>
          <w:szCs w:val="22"/>
        </w:rPr>
        <w:t xml:space="preserve">The labour market remains tight by historical standards, but the sharp fall in wage growth seen in October will reinforce the growing belief in markets that interest rates will be cut mid-2024. Wage growth eased in October much faster than the consensus expected. Total earnings fell by 1.6% m/m, which meant the headline 3myy rate eased from 8.0% in September to 7.2% in October. This news will be welcomed by the Bank of England. Indeed, the timelier three-month annualised rate of average earnings growth fell from +2.4% to -1.2%. Excluding bonuses, it fell from 5.3% to 2.0%. Furthermore, one of the Bank’s key barometers of inflation persistence, regular private sector pay growth, dropped from 7.9% 3myy to 7.3%, which leaves it comfortably on track to fall to 7.2% by December, as predicted by the Bank in November. </w:t>
      </w:r>
    </w:p>
    <w:p w14:paraId="147F6F6B" w14:textId="77777777" w:rsidR="00D079FE" w:rsidRPr="000A5753" w:rsidRDefault="00D079FE" w:rsidP="0064287C">
      <w:pPr>
        <w:numPr>
          <w:ilvl w:val="0"/>
          <w:numId w:val="30"/>
        </w:numPr>
        <w:spacing w:after="120" w:line="280" w:lineRule="exact"/>
        <w:ind w:left="425" w:hanging="425"/>
        <w:jc w:val="both"/>
        <w:rPr>
          <w:rFonts w:eastAsiaTheme="minorHAnsi" w:cs="Arial"/>
          <w:sz w:val="22"/>
          <w:szCs w:val="22"/>
        </w:rPr>
      </w:pPr>
      <w:r w:rsidRPr="000A5753">
        <w:rPr>
          <w:rFonts w:eastAsiaTheme="minorHAnsi" w:cs="Arial"/>
          <w:sz w:val="22"/>
          <w:szCs w:val="22"/>
        </w:rPr>
        <w:t xml:space="preserve">The fall in wage growth occurred despite labour demand being stronger in October than expected. The three-month change in employment eased only a touch from +52,000 in September to +50,000 in October. But resilient labour demand was offset by a further 63,000 </w:t>
      </w:r>
      <w:proofErr w:type="gramStart"/>
      <w:r w:rsidRPr="000A5753">
        <w:rPr>
          <w:rFonts w:eastAsiaTheme="minorHAnsi" w:cs="Arial"/>
          <w:sz w:val="22"/>
          <w:szCs w:val="22"/>
        </w:rPr>
        <w:t>rise</w:t>
      </w:r>
      <w:proofErr w:type="gramEnd"/>
      <w:r w:rsidRPr="000A5753">
        <w:rPr>
          <w:rFonts w:eastAsiaTheme="minorHAnsi" w:cs="Arial"/>
          <w:sz w:val="22"/>
          <w:szCs w:val="22"/>
        </w:rPr>
        <w:t xml:space="preserve"> in the supply of workers in the three months to October. That meant labour supply exceeded its pre-pandemic level for the first time, and the unemployment rate remained at 4.2% in October. In the three months to November, the number of job vacancies fell for the 17</w:t>
      </w:r>
      <w:r w:rsidRPr="000A5753">
        <w:rPr>
          <w:rFonts w:eastAsiaTheme="minorHAnsi" w:cs="Arial"/>
          <w:sz w:val="22"/>
          <w:szCs w:val="22"/>
          <w:vertAlign w:val="superscript"/>
        </w:rPr>
        <w:t>th</w:t>
      </w:r>
      <w:r w:rsidRPr="000A5753">
        <w:rPr>
          <w:rFonts w:eastAsiaTheme="minorHAnsi" w:cs="Arial"/>
          <w:sz w:val="22"/>
          <w:szCs w:val="22"/>
        </w:rPr>
        <w:t xml:space="preserve"> month in a row, from around 959,000 in October to around 949,000. That has reduced the vacancy to unemployment ratio as demand for labour eases relative to supply, which may support a further easing in wage growth in the coming months.</w:t>
      </w:r>
    </w:p>
    <w:p w14:paraId="77E21EA1" w14:textId="77777777" w:rsidR="00D079FE" w:rsidRPr="000A5753" w:rsidRDefault="00D079FE" w:rsidP="0064287C">
      <w:pPr>
        <w:numPr>
          <w:ilvl w:val="0"/>
          <w:numId w:val="30"/>
        </w:numPr>
        <w:spacing w:after="120" w:line="280" w:lineRule="exact"/>
        <w:ind w:left="425" w:hanging="425"/>
        <w:jc w:val="both"/>
        <w:rPr>
          <w:rFonts w:eastAsiaTheme="minorHAnsi" w:cs="Arial"/>
          <w:sz w:val="22"/>
          <w:szCs w:val="22"/>
        </w:rPr>
      </w:pPr>
      <w:r w:rsidRPr="000A5753">
        <w:rPr>
          <w:rFonts w:eastAsiaTheme="minorHAnsi" w:cs="Arial"/>
          <w:sz w:val="22"/>
          <w:szCs w:val="22"/>
        </w:rPr>
        <w:t xml:space="preserve">CPI inflation fell from 6.7% in September to 4.6% in October, and then again to 3.9% in November. Both these falls were bigger than expected and there are clear signs of easing in domestic inflationary pressures. The fall in core CPI inflation from 5.7% to 5.1% in November was bigger than expected (consensus forecast 5.6%). That’s the lowest rate since January 2022. Some of the decline in core inflation was due to the global influence of core goods inflation, which slowed from 4.3% to 3.3%. But some of it was due to services inflation falling from 6.6% to 6.3%. The Bank views the latter as a key barometer of the persistence of inflation and it came in further below the Bank’s forecast of 6.9% in its November Monetary Policy Report. This will give the Bank more confidence that services inflation is now on a firmly downward path. </w:t>
      </w:r>
    </w:p>
    <w:p w14:paraId="38BE009F" w14:textId="77777777" w:rsidR="00D079FE" w:rsidRPr="000A5753" w:rsidRDefault="00D079FE" w:rsidP="0064287C">
      <w:pPr>
        <w:numPr>
          <w:ilvl w:val="0"/>
          <w:numId w:val="30"/>
        </w:numPr>
        <w:spacing w:after="120" w:line="280" w:lineRule="exact"/>
        <w:ind w:left="425" w:hanging="425"/>
        <w:jc w:val="both"/>
        <w:rPr>
          <w:rFonts w:eastAsiaTheme="minorHAnsi" w:cs="Arial"/>
          <w:sz w:val="22"/>
          <w:szCs w:val="22"/>
        </w:rPr>
      </w:pPr>
      <w:r w:rsidRPr="000A5753">
        <w:rPr>
          <w:rFonts w:eastAsiaTheme="minorHAnsi" w:cs="Arial"/>
          <w:sz w:val="22"/>
          <w:szCs w:val="22"/>
        </w:rPr>
        <w:t>The Bank of England sprung no surprises with its December monetary policy committee (MPC) meeting, leaving interest rates at 5.25% for the third time in a row and pushing back against the prospect of near-term interest rate cuts. The Bank continued to sound hawkish, with the MPC maintaining its tightening bias saying that “further tightening in monetary policy would be required if there were evidence of more persistent inflationary pressures”. And it stuck to the familiar script, saying that policy will be “sufficiently restrictive for sufficiently long” and that “monetary policy is likely to need to be restrictive for an extended period of time”. In other words, the message is that the MPC is not yet willing to endorse investors’ expectations that rates will be cut as soon as May 2024.</w:t>
      </w:r>
    </w:p>
    <w:p w14:paraId="6C2AB098" w14:textId="77777777" w:rsidR="00D079FE" w:rsidRPr="000A5753" w:rsidRDefault="00D079FE" w:rsidP="0064287C">
      <w:pPr>
        <w:numPr>
          <w:ilvl w:val="0"/>
          <w:numId w:val="30"/>
        </w:numPr>
        <w:spacing w:after="120" w:line="280" w:lineRule="exact"/>
        <w:ind w:left="425" w:hanging="425"/>
        <w:jc w:val="both"/>
        <w:rPr>
          <w:rFonts w:eastAsiaTheme="minorHAnsi" w:cs="Arial"/>
          <w:sz w:val="22"/>
          <w:szCs w:val="22"/>
        </w:rPr>
      </w:pPr>
      <w:r w:rsidRPr="000A5753">
        <w:rPr>
          <w:rFonts w:eastAsiaTheme="minorHAnsi" w:cs="Arial"/>
          <w:sz w:val="22"/>
          <w:szCs w:val="22"/>
        </w:rPr>
        <w:lastRenderedPageBreak/>
        <w:t xml:space="preserve">Looking ahead, our colleagues at Capital Economics forecast that the recent downward trends in CPI and core inflation will stall over the next few months before starting to decline more decisively again in February. That explains why we think the Bank of England won’t feel comfortable cutting interest rates until H2 2024. </w:t>
      </w:r>
    </w:p>
    <w:p w14:paraId="3CC5B972" w14:textId="77777777" w:rsidR="00D079FE" w:rsidRPr="000A5753" w:rsidRDefault="00D079FE" w:rsidP="0064287C">
      <w:pPr>
        <w:numPr>
          <w:ilvl w:val="0"/>
          <w:numId w:val="30"/>
        </w:numPr>
        <w:spacing w:after="120" w:line="280" w:lineRule="exact"/>
        <w:ind w:left="425" w:hanging="425"/>
        <w:jc w:val="both"/>
        <w:rPr>
          <w:rFonts w:eastAsiaTheme="minorHAnsi" w:cs="Arial"/>
          <w:sz w:val="22"/>
          <w:szCs w:val="22"/>
        </w:rPr>
      </w:pPr>
      <w:r w:rsidRPr="000A5753">
        <w:rPr>
          <w:rFonts w:eastAsiaTheme="minorHAnsi" w:cs="Arial"/>
          <w:sz w:val="22"/>
          <w:szCs w:val="22"/>
        </w:rPr>
        <w:t xml:space="preserve">The fall in UK market interest rate expectations in December has driven most of the decline in 10-year gilt yields, which have fallen in line with 10-year US Treasury and euro-zone yields. 10-year gilt yields have fallen from 4.68% in October 2023 to around 3.70% </w:t>
      </w:r>
      <w:r>
        <w:rPr>
          <w:rFonts w:eastAsiaTheme="minorHAnsi" w:cs="Arial"/>
          <w:sz w:val="22"/>
          <w:szCs w:val="22"/>
        </w:rPr>
        <w:t>in early January</w:t>
      </w:r>
      <w:r w:rsidRPr="000A5753">
        <w:rPr>
          <w:rFonts w:eastAsiaTheme="minorHAnsi" w:cs="Arial"/>
          <w:sz w:val="22"/>
          <w:szCs w:val="22"/>
        </w:rPr>
        <w:t>, with further declines likely if the falling inflation story is maintained.</w:t>
      </w:r>
    </w:p>
    <w:p w14:paraId="08681891" w14:textId="77777777" w:rsidR="00D079FE" w:rsidRPr="000A5753" w:rsidRDefault="00D079FE" w:rsidP="0064287C">
      <w:pPr>
        <w:numPr>
          <w:ilvl w:val="0"/>
          <w:numId w:val="30"/>
        </w:numPr>
        <w:spacing w:after="120" w:line="280" w:lineRule="exact"/>
        <w:ind w:left="425" w:hanging="425"/>
        <w:jc w:val="both"/>
        <w:rPr>
          <w:rFonts w:eastAsiaTheme="minorHAnsi" w:cs="Arial"/>
          <w:sz w:val="22"/>
          <w:szCs w:val="22"/>
        </w:rPr>
      </w:pPr>
      <w:r w:rsidRPr="000A5753">
        <w:rPr>
          <w:rFonts w:eastAsiaTheme="minorHAnsi" w:cs="Arial"/>
          <w:sz w:val="22"/>
          <w:szCs w:val="22"/>
        </w:rPr>
        <w:t xml:space="preserve">Investors’ growing expectations that the Fed will cut interest rates soon has led to an improvement in risk sentiment, which has boosted the pound and other risky assets. In addition, the rise in the pound, from $1.21 in November to $1.27 now, has also been supported by the recent relative decline in UK wholesale gas prices. </w:t>
      </w:r>
    </w:p>
    <w:p w14:paraId="1C833776" w14:textId="77777777" w:rsidR="00D079FE" w:rsidRPr="000A5753" w:rsidRDefault="00D079FE" w:rsidP="0064287C">
      <w:pPr>
        <w:numPr>
          <w:ilvl w:val="0"/>
          <w:numId w:val="30"/>
        </w:numPr>
        <w:spacing w:after="120" w:line="280" w:lineRule="exact"/>
        <w:ind w:left="425" w:hanging="425"/>
        <w:jc w:val="both"/>
        <w:rPr>
          <w:rFonts w:eastAsiaTheme="minorHAnsi" w:cs="Arial"/>
          <w:sz w:val="22"/>
          <w:szCs w:val="22"/>
        </w:rPr>
      </w:pPr>
      <w:r w:rsidRPr="000A5753">
        <w:rPr>
          <w:rFonts w:eastAsiaTheme="minorHAnsi" w:cs="Arial"/>
          <w:sz w:val="22"/>
          <w:szCs w:val="22"/>
        </w:rPr>
        <w:t>The further fall in 10-year real gilt yields in December has supported the recent rise in the FTSE 100. That said, the index remains 5% below its record high in February</w:t>
      </w:r>
      <w:r>
        <w:rPr>
          <w:rFonts w:eastAsiaTheme="minorHAnsi" w:cs="Arial"/>
          <w:sz w:val="22"/>
          <w:szCs w:val="22"/>
        </w:rPr>
        <w:t xml:space="preserve"> 2023</w:t>
      </w:r>
      <w:r w:rsidRPr="000A5753">
        <w:rPr>
          <w:rFonts w:eastAsiaTheme="minorHAnsi" w:cs="Arial"/>
          <w:sz w:val="22"/>
          <w:szCs w:val="22"/>
        </w:rPr>
        <w:t xml:space="preserve">. This modest rise in equities appears to have been mostly driven by strong performances in the industrials and rate-sensitive technology sectors. But UK equities have continued to underperform US and euro-zone equities. The FTSE 100 has risen by 2.2% in December, while the S&amp;P 500 has risen by 3.8%. This is partly due to lower energy prices, which have been a relatively bigger drag on the FTSE 100, due to the index’s high concentration of energy companies. </w:t>
      </w:r>
    </w:p>
    <w:p w14:paraId="70F379F6" w14:textId="77777777" w:rsidR="00D079FE" w:rsidRPr="000A5753" w:rsidRDefault="00D079FE" w:rsidP="00D079FE">
      <w:pPr>
        <w:spacing w:after="120"/>
        <w:jc w:val="both"/>
        <w:rPr>
          <w:rFonts w:eastAsiaTheme="minorHAnsi" w:cs="Arial"/>
          <w:sz w:val="22"/>
          <w:szCs w:val="22"/>
        </w:rPr>
      </w:pPr>
      <w:r w:rsidRPr="000A5753">
        <w:rPr>
          <w:rFonts w:eastAsiaTheme="minorHAnsi" w:cs="Arial"/>
          <w:sz w:val="22"/>
          <w:szCs w:val="22"/>
        </w:rPr>
        <w:t>In the chart below, the rise in gilt yields across the curve in the first half of 2023/24, and therein PWLB rates, is clear to see, prior to the end of year rally based on a mix of supportive domestic and international factors.</w:t>
      </w:r>
    </w:p>
    <w:p w14:paraId="479AD93D" w14:textId="77777777" w:rsidR="00D079FE" w:rsidRPr="000A5753" w:rsidRDefault="00D079FE" w:rsidP="00D079FE">
      <w:pPr>
        <w:jc w:val="both"/>
        <w:rPr>
          <w:rFonts w:cs="Arial"/>
          <w:b/>
          <w:bCs/>
          <w:i/>
          <w:color w:val="0D0D0D" w:themeColor="text1" w:themeTint="F2"/>
        </w:rPr>
      </w:pPr>
    </w:p>
    <w:p w14:paraId="1A8CD134" w14:textId="77777777" w:rsidR="00D079FE" w:rsidRPr="000A5753" w:rsidRDefault="00D079FE" w:rsidP="00D079FE">
      <w:pPr>
        <w:jc w:val="both"/>
        <w:rPr>
          <w:rFonts w:cs="Arial"/>
          <w:b/>
          <w:bCs/>
          <w:iCs/>
          <w:color w:val="0D0D0D" w:themeColor="text1" w:themeTint="F2"/>
          <w:sz w:val="22"/>
          <w:szCs w:val="22"/>
        </w:rPr>
      </w:pPr>
      <w:r w:rsidRPr="000A5753">
        <w:rPr>
          <w:rFonts w:cs="Arial"/>
          <w:b/>
          <w:bCs/>
          <w:iCs/>
          <w:color w:val="0D0D0D" w:themeColor="text1" w:themeTint="F2"/>
          <w:sz w:val="22"/>
          <w:szCs w:val="22"/>
        </w:rPr>
        <w:t>PWLB RATES 3.4.23 - 29.12.23</w:t>
      </w:r>
    </w:p>
    <w:p w14:paraId="27427BC7" w14:textId="77777777" w:rsidR="00D079FE" w:rsidRPr="000A5753" w:rsidRDefault="00D079FE" w:rsidP="00D079FE">
      <w:pPr>
        <w:jc w:val="both"/>
        <w:rPr>
          <w:rFonts w:cs="Arial"/>
          <w:b/>
          <w:color w:val="0D0D0D" w:themeColor="text1" w:themeTint="F2"/>
        </w:rPr>
      </w:pPr>
      <w:r w:rsidRPr="000A5753">
        <w:rPr>
          <w:rFonts w:ascii="Calibri" w:eastAsia="Bliss 2 Regular" w:hAnsi="Calibri"/>
          <w:noProof/>
          <w:color w:val="3A3B3C"/>
          <w:sz w:val="21"/>
          <w:szCs w:val="22"/>
        </w:rPr>
        <w:drawing>
          <wp:inline distT="0" distB="0" distL="0" distR="0" wp14:anchorId="7851A0A6" wp14:editId="2A5A8F6B">
            <wp:extent cx="5321300" cy="3476989"/>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326279" cy="3480242"/>
                    </a:xfrm>
                    <a:prstGeom prst="rect">
                      <a:avLst/>
                    </a:prstGeom>
                    <a:noFill/>
                    <a:ln>
                      <a:noFill/>
                    </a:ln>
                  </pic:spPr>
                </pic:pic>
              </a:graphicData>
            </a:graphic>
          </wp:inline>
        </w:drawing>
      </w:r>
      <w:r w:rsidRPr="000A5753">
        <w:rPr>
          <w:rFonts w:cs="Arial"/>
          <w:b/>
          <w:color w:val="0D0D0D" w:themeColor="text1" w:themeTint="F2"/>
        </w:rPr>
        <w:t xml:space="preserve"> </w:t>
      </w:r>
    </w:p>
    <w:p w14:paraId="3C934A80" w14:textId="77777777" w:rsidR="00D079FE" w:rsidRPr="000A5753" w:rsidRDefault="00D079FE" w:rsidP="00D079FE">
      <w:pPr>
        <w:jc w:val="both"/>
        <w:rPr>
          <w:rFonts w:cs="Arial"/>
          <w:b/>
          <w:color w:val="0D0D0D" w:themeColor="text1" w:themeTint="F2"/>
        </w:rPr>
      </w:pPr>
      <w:bookmarkStart w:id="29" w:name="_Hlk155168932"/>
    </w:p>
    <w:p w14:paraId="799DD5BB" w14:textId="77777777" w:rsidR="00D079FE" w:rsidRDefault="00D079FE" w:rsidP="00D079FE">
      <w:pPr>
        <w:jc w:val="both"/>
        <w:rPr>
          <w:rFonts w:cs="Arial"/>
          <w:b/>
          <w:color w:val="0D0D0D" w:themeColor="text1" w:themeTint="F2"/>
        </w:rPr>
      </w:pPr>
      <w:r w:rsidRPr="000A5753">
        <w:rPr>
          <w:rFonts w:cs="Arial"/>
          <w:b/>
          <w:color w:val="0D0D0D" w:themeColor="text1" w:themeTint="F2"/>
        </w:rPr>
        <w:t xml:space="preserve"> </w:t>
      </w:r>
    </w:p>
    <w:p w14:paraId="371D60D8" w14:textId="77777777" w:rsidR="00D079FE" w:rsidRDefault="00D079FE" w:rsidP="00D079FE">
      <w:pPr>
        <w:jc w:val="both"/>
        <w:rPr>
          <w:rFonts w:cs="Arial"/>
          <w:b/>
          <w:color w:val="0D0D0D" w:themeColor="text1" w:themeTint="F2"/>
        </w:rPr>
      </w:pPr>
    </w:p>
    <w:p w14:paraId="7D190652" w14:textId="77777777" w:rsidR="00D079FE" w:rsidRDefault="00D079FE" w:rsidP="00D079FE">
      <w:pPr>
        <w:jc w:val="both"/>
        <w:rPr>
          <w:rFonts w:cs="Arial"/>
          <w:b/>
          <w:color w:val="0D0D0D" w:themeColor="text1" w:themeTint="F2"/>
        </w:rPr>
      </w:pPr>
    </w:p>
    <w:p w14:paraId="44147F69" w14:textId="77777777" w:rsidR="00D079FE" w:rsidRPr="000A5753" w:rsidRDefault="00D079FE" w:rsidP="00D079FE">
      <w:pPr>
        <w:jc w:val="both"/>
        <w:rPr>
          <w:rFonts w:cs="Arial"/>
          <w:b/>
          <w:color w:val="0D0D0D" w:themeColor="text1" w:themeTint="F2"/>
        </w:rPr>
      </w:pPr>
    </w:p>
    <w:bookmarkEnd w:id="29"/>
    <w:p w14:paraId="6168B04A" w14:textId="77777777" w:rsidR="00D079FE" w:rsidRDefault="00D079FE" w:rsidP="00D079FE">
      <w:pPr>
        <w:spacing w:after="120"/>
        <w:jc w:val="both"/>
        <w:rPr>
          <w:rFonts w:eastAsia="Arial" w:cs="Arial"/>
          <w:b/>
          <w:color w:val="0D0D0D"/>
          <w:sz w:val="22"/>
          <w:lang w:val="en-AU"/>
        </w:rPr>
      </w:pPr>
      <w:r>
        <w:rPr>
          <w:rFonts w:eastAsia="Arial" w:cs="Arial"/>
          <w:b/>
          <w:noProof/>
          <w:color w:val="0D0D0D"/>
          <w:sz w:val="22"/>
          <w:lang w:val="en-AU"/>
        </w:rPr>
        <w:drawing>
          <wp:inline distT="0" distB="0" distL="0" distR="0" wp14:anchorId="2EE11503" wp14:editId="3A62D93C">
            <wp:extent cx="5709977" cy="34798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14607" cy="3482622"/>
                    </a:xfrm>
                    <a:prstGeom prst="rect">
                      <a:avLst/>
                    </a:prstGeom>
                    <a:noFill/>
                  </pic:spPr>
                </pic:pic>
              </a:graphicData>
            </a:graphic>
          </wp:inline>
        </w:drawing>
      </w:r>
    </w:p>
    <w:p w14:paraId="083FFC39" w14:textId="77777777" w:rsidR="00D079FE" w:rsidRPr="005664FA" w:rsidRDefault="00D079FE" w:rsidP="00D079FE">
      <w:pPr>
        <w:jc w:val="both"/>
        <w:rPr>
          <w:b/>
          <w:bCs/>
          <w:sz w:val="22"/>
          <w:szCs w:val="22"/>
        </w:rPr>
      </w:pPr>
      <w:r w:rsidRPr="005664FA">
        <w:rPr>
          <w:b/>
          <w:bCs/>
          <w:sz w:val="22"/>
          <w:szCs w:val="22"/>
        </w:rPr>
        <w:t>HIGH/LOW/AVERAGE PWLB RATES FOR 3.4.23 – 29.12.23</w:t>
      </w:r>
    </w:p>
    <w:p w14:paraId="19BBDB6B" w14:textId="77777777" w:rsidR="00D079FE" w:rsidRPr="005664FA" w:rsidRDefault="00D079FE" w:rsidP="00D079FE">
      <w:pPr>
        <w:jc w:val="both"/>
        <w:rPr>
          <w:b/>
          <w:bCs/>
        </w:rPr>
      </w:pPr>
    </w:p>
    <w:p w14:paraId="56DD6100" w14:textId="77777777" w:rsidR="00D079FE" w:rsidRPr="005664FA" w:rsidRDefault="00D079FE" w:rsidP="00D079FE">
      <w:pPr>
        <w:jc w:val="both"/>
        <w:rPr>
          <w:b/>
          <w:bCs/>
        </w:rPr>
      </w:pPr>
      <w:r w:rsidRPr="005664FA">
        <w:rPr>
          <w:rFonts w:ascii="Calibri" w:eastAsia="Bliss 2 Regular" w:hAnsi="Calibri"/>
          <w:noProof/>
          <w:color w:val="3A3B3C"/>
          <w:sz w:val="21"/>
          <w:szCs w:val="22"/>
        </w:rPr>
        <w:drawing>
          <wp:inline distT="0" distB="0" distL="0" distR="0" wp14:anchorId="0BECB324" wp14:editId="12A11C1C">
            <wp:extent cx="5741035" cy="133413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41035" cy="1334135"/>
                    </a:xfrm>
                    <a:prstGeom prst="rect">
                      <a:avLst/>
                    </a:prstGeom>
                    <a:noFill/>
                    <a:ln>
                      <a:noFill/>
                    </a:ln>
                  </pic:spPr>
                </pic:pic>
              </a:graphicData>
            </a:graphic>
          </wp:inline>
        </w:drawing>
      </w:r>
    </w:p>
    <w:p w14:paraId="05DF21A2" w14:textId="77777777" w:rsidR="00D079FE" w:rsidRPr="005664FA" w:rsidRDefault="00D079FE" w:rsidP="00D079FE">
      <w:pPr>
        <w:jc w:val="both"/>
        <w:rPr>
          <w:color w:val="0D0D0D" w:themeColor="text1" w:themeTint="F2"/>
        </w:rPr>
      </w:pPr>
    </w:p>
    <w:p w14:paraId="5C19F527" w14:textId="77777777" w:rsidR="00D079FE" w:rsidRPr="000A5753" w:rsidRDefault="00D079FE" w:rsidP="00D079FE">
      <w:pPr>
        <w:spacing w:after="120"/>
        <w:jc w:val="both"/>
        <w:rPr>
          <w:rFonts w:eastAsia="Arial" w:cs="Arial"/>
          <w:b/>
          <w:color w:val="0D0D0D"/>
          <w:sz w:val="22"/>
          <w:lang w:val="en-AU"/>
        </w:rPr>
      </w:pPr>
      <w:r w:rsidRPr="000A5753">
        <w:rPr>
          <w:rFonts w:eastAsia="Arial" w:cs="Arial"/>
          <w:b/>
          <w:color w:val="0D0D0D"/>
          <w:sz w:val="22"/>
          <w:lang w:val="en-AU"/>
        </w:rPr>
        <w:t>MPC meetings 2</w:t>
      </w:r>
      <w:r w:rsidRPr="000A5753">
        <w:rPr>
          <w:rFonts w:eastAsia="Arial" w:cs="Arial"/>
          <w:b/>
          <w:color w:val="0D0D0D"/>
          <w:sz w:val="22"/>
          <w:vertAlign w:val="superscript"/>
          <w:lang w:val="en-AU"/>
        </w:rPr>
        <w:t>nd</w:t>
      </w:r>
      <w:r w:rsidRPr="000A5753">
        <w:rPr>
          <w:rFonts w:eastAsia="Arial" w:cs="Arial"/>
          <w:b/>
          <w:color w:val="0D0D0D"/>
          <w:sz w:val="22"/>
          <w:lang w:val="en-AU"/>
        </w:rPr>
        <w:t xml:space="preserve"> November and 14</w:t>
      </w:r>
      <w:r w:rsidRPr="000A5753">
        <w:rPr>
          <w:rFonts w:eastAsia="Arial" w:cs="Arial"/>
          <w:b/>
          <w:color w:val="0D0D0D"/>
          <w:sz w:val="22"/>
          <w:vertAlign w:val="superscript"/>
          <w:lang w:val="en-AU"/>
        </w:rPr>
        <w:t>th</w:t>
      </w:r>
      <w:r w:rsidRPr="000A5753">
        <w:rPr>
          <w:rFonts w:eastAsia="Arial" w:cs="Arial"/>
          <w:b/>
          <w:color w:val="0D0D0D"/>
          <w:sz w:val="22"/>
          <w:lang w:val="en-AU"/>
        </w:rPr>
        <w:t xml:space="preserve"> December 2023</w:t>
      </w:r>
    </w:p>
    <w:p w14:paraId="6ADEC6F0" w14:textId="77777777" w:rsidR="00D079FE" w:rsidRPr="000A5753" w:rsidRDefault="00D079FE" w:rsidP="0064287C">
      <w:pPr>
        <w:numPr>
          <w:ilvl w:val="0"/>
          <w:numId w:val="29"/>
        </w:numPr>
        <w:spacing w:after="120" w:line="280" w:lineRule="exact"/>
        <w:ind w:left="357" w:hanging="357"/>
        <w:jc w:val="both"/>
        <w:rPr>
          <w:rFonts w:eastAsiaTheme="minorHAnsi" w:cs="Arial"/>
          <w:color w:val="000000" w:themeColor="text1"/>
          <w:sz w:val="22"/>
          <w:szCs w:val="22"/>
        </w:rPr>
      </w:pPr>
      <w:r w:rsidRPr="000A5753">
        <w:rPr>
          <w:rFonts w:eastAsiaTheme="minorHAnsi" w:cs="Arial"/>
          <w:color w:val="000000" w:themeColor="text1"/>
          <w:sz w:val="22"/>
          <w:szCs w:val="22"/>
        </w:rPr>
        <w:t>On 2</w:t>
      </w:r>
      <w:r w:rsidRPr="000A5753">
        <w:rPr>
          <w:rFonts w:eastAsiaTheme="minorHAnsi" w:cs="Arial"/>
          <w:color w:val="000000" w:themeColor="text1"/>
          <w:sz w:val="22"/>
          <w:szCs w:val="22"/>
          <w:vertAlign w:val="superscript"/>
        </w:rPr>
        <w:t>nd</w:t>
      </w:r>
      <w:r w:rsidRPr="000A5753">
        <w:rPr>
          <w:rFonts w:eastAsiaTheme="minorHAnsi" w:cs="Arial"/>
          <w:color w:val="000000" w:themeColor="text1"/>
          <w:sz w:val="22"/>
          <w:szCs w:val="22"/>
        </w:rPr>
        <w:t xml:space="preserve"> November, the Bank of England’s Monetary Policy Committee (MPC) voted to keep Bank Rate on hold at 5.25%, and on 14</w:t>
      </w:r>
      <w:r w:rsidRPr="000A5753">
        <w:rPr>
          <w:rFonts w:eastAsiaTheme="minorHAnsi" w:cs="Arial"/>
          <w:color w:val="000000" w:themeColor="text1"/>
          <w:sz w:val="22"/>
          <w:szCs w:val="22"/>
          <w:vertAlign w:val="superscript"/>
        </w:rPr>
        <w:t>th</w:t>
      </w:r>
      <w:r w:rsidRPr="000A5753">
        <w:rPr>
          <w:rFonts w:eastAsiaTheme="minorHAnsi" w:cs="Arial"/>
          <w:color w:val="000000" w:themeColor="text1"/>
          <w:sz w:val="22"/>
          <w:szCs w:val="22"/>
        </w:rPr>
        <w:t xml:space="preserve"> December reiterated that view.  Both increases reflected a split vote, the latter by 6 votes to 3, with the minority grouping voting for an increase of 0.25% as concerns about “sticky” inflation remained in place.  </w:t>
      </w:r>
    </w:p>
    <w:p w14:paraId="7F82C2FF" w14:textId="77777777" w:rsidR="00D079FE" w:rsidRPr="000A5753" w:rsidRDefault="00D079FE" w:rsidP="0064287C">
      <w:pPr>
        <w:numPr>
          <w:ilvl w:val="0"/>
          <w:numId w:val="29"/>
        </w:numPr>
        <w:spacing w:after="120" w:line="280" w:lineRule="exact"/>
        <w:ind w:left="357" w:hanging="357"/>
        <w:jc w:val="both"/>
        <w:rPr>
          <w:rFonts w:eastAsiaTheme="minorHAnsi" w:cs="Arial"/>
          <w:color w:val="000000" w:themeColor="text1"/>
          <w:sz w:val="22"/>
          <w:szCs w:val="22"/>
        </w:rPr>
      </w:pPr>
      <w:r w:rsidRPr="000A5753">
        <w:rPr>
          <w:rFonts w:eastAsiaTheme="minorHAnsi" w:cs="Arial"/>
          <w:color w:val="000000" w:themeColor="text1"/>
          <w:sz w:val="22"/>
          <w:szCs w:val="22"/>
        </w:rPr>
        <w:t>Nonetheless, with UK CPI inflation now at 3.9%, and core inflating beginning to moderate (5.1%), markets are voicing a view that rate cuts should begin in Q1 2024/25, some way ahead of the indications from MPC members.  Of course, the data will be the ultimate determinant, so upcoming publications of employment, wages and inflation numbers will be of particular importance, and on-going volatility in Bank Rate expectations and the gilt yield curve can be expected.</w:t>
      </w:r>
    </w:p>
    <w:p w14:paraId="567F9A5C" w14:textId="77777777" w:rsidR="00D079FE" w:rsidRPr="001750B4" w:rsidRDefault="00D079FE" w:rsidP="0064287C">
      <w:pPr>
        <w:numPr>
          <w:ilvl w:val="0"/>
          <w:numId w:val="29"/>
        </w:numPr>
        <w:spacing w:after="200" w:line="280" w:lineRule="exact"/>
        <w:ind w:left="357" w:hanging="357"/>
        <w:jc w:val="both"/>
        <w:rPr>
          <w:rFonts w:eastAsia="Arial" w:cs="Arial"/>
          <w:color w:val="1D1B11"/>
          <w:sz w:val="22"/>
          <w:szCs w:val="22"/>
        </w:rPr>
      </w:pPr>
      <w:bookmarkStart w:id="30" w:name="_Hlk155165118"/>
      <w:r w:rsidRPr="000A5753">
        <w:rPr>
          <w:rFonts w:eastAsia="Arial" w:cs="Arial"/>
          <w:color w:val="000000" w:themeColor="text1"/>
          <w:sz w:val="22"/>
          <w:szCs w:val="22"/>
          <w:lang w:val="en-AU"/>
        </w:rPr>
        <w:t xml:space="preserve">In addition, what happens outside of the UK is also critical to movement in gilt yields.  The US FOMC has kept short-term rates in the range of 5.25%-5.50%, whilst the ECB has moved its Deposit rate to a probable peak of 4%.  Markets currently expect both central banks to start cutting rates in 2024. </w:t>
      </w:r>
      <w:bookmarkEnd w:id="28"/>
      <w:bookmarkEnd w:id="30"/>
    </w:p>
    <w:p w14:paraId="54E714F4" w14:textId="77777777" w:rsidR="00907233" w:rsidRDefault="00907233" w:rsidP="00DF27CE">
      <w:pPr>
        <w:jc w:val="right"/>
        <w:rPr>
          <w:rFonts w:cs="Arial"/>
          <w:b/>
          <w:noProof/>
          <w:sz w:val="32"/>
          <w:szCs w:val="32"/>
        </w:rPr>
      </w:pPr>
    </w:p>
    <w:p w14:paraId="7F86076C" w14:textId="77777777" w:rsidR="00907233" w:rsidRDefault="00907233" w:rsidP="00DF27CE">
      <w:pPr>
        <w:jc w:val="right"/>
        <w:rPr>
          <w:rFonts w:cs="Arial"/>
          <w:b/>
          <w:noProof/>
          <w:sz w:val="32"/>
          <w:szCs w:val="32"/>
        </w:rPr>
      </w:pPr>
    </w:p>
    <w:p w14:paraId="23163D68" w14:textId="53D7C0E1" w:rsidR="00DF27CE" w:rsidRDefault="00DF27CE" w:rsidP="00DF27CE">
      <w:pPr>
        <w:jc w:val="right"/>
        <w:rPr>
          <w:rFonts w:cs="Arial"/>
          <w:b/>
          <w:noProof/>
          <w:sz w:val="32"/>
          <w:szCs w:val="32"/>
        </w:rPr>
      </w:pPr>
      <w:r w:rsidRPr="00C10306">
        <w:rPr>
          <w:rFonts w:cs="Arial"/>
          <w:b/>
          <w:noProof/>
          <w:sz w:val="32"/>
          <w:szCs w:val="32"/>
        </w:rPr>
        <w:t>APPENDIX F</w:t>
      </w:r>
    </w:p>
    <w:p w14:paraId="273E9267" w14:textId="77777777" w:rsidR="00DF27CE" w:rsidRDefault="00DF27CE" w:rsidP="00DF27CE">
      <w:pPr>
        <w:rPr>
          <w:rFonts w:cs="Arial"/>
          <w:b/>
          <w:noProof/>
          <w:sz w:val="32"/>
          <w:szCs w:val="32"/>
        </w:rPr>
      </w:pPr>
      <w:bookmarkStart w:id="31" w:name="_Hlk63348946"/>
      <w:r>
        <w:rPr>
          <w:rFonts w:cs="Arial"/>
          <w:b/>
          <w:noProof/>
          <w:sz w:val="32"/>
          <w:szCs w:val="32"/>
        </w:rPr>
        <w:t>Counterparties and approved investments</w:t>
      </w:r>
    </w:p>
    <w:p w14:paraId="2683482B" w14:textId="77777777" w:rsidR="00DF27CE" w:rsidRDefault="00DF27CE" w:rsidP="00DF27CE">
      <w:pPr>
        <w:ind w:left="561" w:hanging="561"/>
        <w:jc w:val="both"/>
        <w:rPr>
          <w:rFonts w:cs="Arial"/>
          <w:b/>
        </w:rPr>
      </w:pPr>
    </w:p>
    <w:bookmarkEnd w:id="31"/>
    <w:p w14:paraId="51D2FF4C" w14:textId="77777777" w:rsidR="005F53F9" w:rsidRPr="00805B98" w:rsidRDefault="005F53F9" w:rsidP="005F53F9">
      <w:pPr>
        <w:jc w:val="both"/>
        <w:rPr>
          <w:rFonts w:cs="Arial"/>
          <w:szCs w:val="24"/>
        </w:rPr>
      </w:pPr>
      <w:r w:rsidRPr="00805B98">
        <w:rPr>
          <w:rFonts w:cs="Arial"/>
          <w:szCs w:val="24"/>
        </w:rPr>
        <w:t xml:space="preserve">This Authority applies the creditworthiness service provided by the Link Group. This service employs a sophisticated modelling approach utilising credit ratings from the three main credit rating agencies - Fitch, </w:t>
      </w:r>
      <w:proofErr w:type="gramStart"/>
      <w:r w:rsidRPr="00805B98">
        <w:rPr>
          <w:rFonts w:cs="Arial"/>
          <w:szCs w:val="24"/>
        </w:rPr>
        <w:t>Moody’s</w:t>
      </w:r>
      <w:proofErr w:type="gramEnd"/>
      <w:r w:rsidRPr="00805B98">
        <w:rPr>
          <w:rFonts w:cs="Arial"/>
          <w:szCs w:val="24"/>
        </w:rPr>
        <w:t xml:space="preserve"> and Standard &amp; Poor’s.  The credit ratings of counterparties are supplemented with the following overlays: -</w:t>
      </w:r>
    </w:p>
    <w:p w14:paraId="2698E818" w14:textId="77777777" w:rsidR="005F53F9" w:rsidRPr="00805B98" w:rsidRDefault="005F53F9" w:rsidP="0064287C">
      <w:pPr>
        <w:numPr>
          <w:ilvl w:val="0"/>
          <w:numId w:val="11"/>
        </w:numPr>
        <w:spacing w:before="45" w:after="45"/>
        <w:ind w:left="709" w:hanging="425"/>
        <w:jc w:val="both"/>
        <w:rPr>
          <w:rFonts w:cs="Arial"/>
          <w:szCs w:val="24"/>
        </w:rPr>
      </w:pPr>
      <w:r w:rsidRPr="00805B98">
        <w:rPr>
          <w:rFonts w:cs="Arial"/>
          <w:szCs w:val="24"/>
        </w:rPr>
        <w:t xml:space="preserve">“watches” and “outlooks” from credit rating </w:t>
      </w:r>
      <w:proofErr w:type="gramStart"/>
      <w:r w:rsidRPr="00805B98">
        <w:rPr>
          <w:rFonts w:cs="Arial"/>
          <w:szCs w:val="24"/>
        </w:rPr>
        <w:t>agencies;</w:t>
      </w:r>
      <w:proofErr w:type="gramEnd"/>
    </w:p>
    <w:p w14:paraId="530CA042" w14:textId="77777777" w:rsidR="005F53F9" w:rsidRPr="00805B98" w:rsidRDefault="005F53F9" w:rsidP="0064287C">
      <w:pPr>
        <w:numPr>
          <w:ilvl w:val="0"/>
          <w:numId w:val="11"/>
        </w:numPr>
        <w:spacing w:before="45" w:after="45"/>
        <w:ind w:left="709" w:hanging="425"/>
        <w:jc w:val="both"/>
        <w:rPr>
          <w:rFonts w:cs="Arial"/>
          <w:szCs w:val="24"/>
        </w:rPr>
      </w:pPr>
      <w:r w:rsidRPr="00805B98">
        <w:rPr>
          <w:rFonts w:cs="Arial"/>
          <w:szCs w:val="24"/>
        </w:rPr>
        <w:t xml:space="preserve">CDS spreads that may give early warning of changes in credit </w:t>
      </w:r>
      <w:proofErr w:type="gramStart"/>
      <w:r w:rsidRPr="00805B98">
        <w:rPr>
          <w:rFonts w:cs="Arial"/>
          <w:szCs w:val="24"/>
        </w:rPr>
        <w:t>ratings;</w:t>
      </w:r>
      <w:proofErr w:type="gramEnd"/>
    </w:p>
    <w:p w14:paraId="266CDF04" w14:textId="77777777" w:rsidR="005F53F9" w:rsidRPr="00805B98" w:rsidRDefault="005F53F9" w:rsidP="0064287C">
      <w:pPr>
        <w:numPr>
          <w:ilvl w:val="0"/>
          <w:numId w:val="11"/>
        </w:numPr>
        <w:spacing w:before="45" w:after="45"/>
        <w:ind w:left="709" w:hanging="425"/>
        <w:jc w:val="both"/>
        <w:rPr>
          <w:rFonts w:cs="Arial"/>
          <w:szCs w:val="24"/>
        </w:rPr>
      </w:pPr>
      <w:r w:rsidRPr="00805B98">
        <w:rPr>
          <w:rFonts w:cs="Arial"/>
          <w:szCs w:val="24"/>
        </w:rPr>
        <w:t>sovereign ratings to select counterparties from only the most creditworthy countries.</w:t>
      </w:r>
    </w:p>
    <w:p w14:paraId="39B46A87" w14:textId="77777777" w:rsidR="005F53F9" w:rsidRPr="00805B98" w:rsidRDefault="005F53F9" w:rsidP="005F53F9">
      <w:pPr>
        <w:jc w:val="both"/>
        <w:rPr>
          <w:rFonts w:cs="Arial"/>
          <w:szCs w:val="24"/>
        </w:rPr>
      </w:pPr>
    </w:p>
    <w:p w14:paraId="5967A139" w14:textId="77777777" w:rsidR="005F53F9" w:rsidRPr="00805B98" w:rsidRDefault="005F53F9" w:rsidP="005F53F9">
      <w:pPr>
        <w:jc w:val="both"/>
        <w:rPr>
          <w:rFonts w:cs="Arial"/>
          <w:i/>
          <w:szCs w:val="24"/>
        </w:rPr>
      </w:pPr>
      <w:bookmarkStart w:id="32" w:name="_Hlk86335110"/>
      <w:r w:rsidRPr="00805B98">
        <w:rPr>
          <w:rFonts w:cs="Arial"/>
          <w:szCs w:val="24"/>
        </w:rPr>
        <w:t xml:space="preserve">This modelling approach combines credit ratings, and any assigned Watches and Outlooks, in a weighted scoring system which is then combined with an overlay of CDS spreads. The end-product of this is a series of colour coded bands which indicate the relative creditworthiness of counterparties. These colour codes are used by the Authority to determine the suggested duration for investments.  The Authority will, therefore, use counterparties within the following durational </w:t>
      </w:r>
      <w:proofErr w:type="gramStart"/>
      <w:r w:rsidRPr="00805B98">
        <w:rPr>
          <w:rFonts w:cs="Arial"/>
          <w:szCs w:val="24"/>
        </w:rPr>
        <w:t>bands</w:t>
      </w:r>
      <w:proofErr w:type="gramEnd"/>
      <w:r w:rsidRPr="00805B98">
        <w:rPr>
          <w:rFonts w:cs="Arial"/>
          <w:szCs w:val="24"/>
        </w:rPr>
        <w:t xml:space="preserve"> </w:t>
      </w:r>
    </w:p>
    <w:bookmarkEnd w:id="32"/>
    <w:p w14:paraId="77A0DBEC" w14:textId="77777777" w:rsidR="005F53F9" w:rsidRPr="00805B98" w:rsidRDefault="005F53F9" w:rsidP="005F53F9">
      <w:pPr>
        <w:jc w:val="both"/>
        <w:rPr>
          <w:rFonts w:cs="Arial"/>
          <w:i/>
          <w:szCs w:val="24"/>
        </w:rPr>
      </w:pPr>
    </w:p>
    <w:p w14:paraId="7121F33A" w14:textId="77777777" w:rsidR="005F53F9" w:rsidRPr="00C10306" w:rsidRDefault="005F53F9" w:rsidP="00C10306">
      <w:pPr>
        <w:pStyle w:val="ListParagraph"/>
        <w:numPr>
          <w:ilvl w:val="0"/>
          <w:numId w:val="1"/>
        </w:numPr>
        <w:tabs>
          <w:tab w:val="num" w:pos="709"/>
        </w:tabs>
        <w:autoSpaceDE w:val="0"/>
        <w:autoSpaceDN w:val="0"/>
        <w:adjustRightInd w:val="0"/>
        <w:rPr>
          <w:rFonts w:cs="Arial"/>
          <w:sz w:val="22"/>
          <w:szCs w:val="22"/>
          <w:lang w:eastAsia="en-GB"/>
        </w:rPr>
      </w:pPr>
      <w:r w:rsidRPr="00C10306">
        <w:rPr>
          <w:rFonts w:cs="Arial"/>
          <w:sz w:val="22"/>
          <w:szCs w:val="22"/>
          <w:lang w:eastAsia="en-GB"/>
        </w:rPr>
        <w:t>Yellow</w:t>
      </w:r>
      <w:r w:rsidRPr="00C10306">
        <w:rPr>
          <w:rFonts w:cs="Arial"/>
          <w:sz w:val="22"/>
          <w:szCs w:val="22"/>
          <w:lang w:eastAsia="en-GB"/>
        </w:rPr>
        <w:tab/>
        <w:t>5 years *</w:t>
      </w:r>
    </w:p>
    <w:p w14:paraId="3E7CFA12" w14:textId="77777777" w:rsidR="005F53F9" w:rsidRPr="00C10306" w:rsidRDefault="005F53F9" w:rsidP="00C10306">
      <w:pPr>
        <w:pStyle w:val="ListParagraph"/>
        <w:numPr>
          <w:ilvl w:val="0"/>
          <w:numId w:val="1"/>
        </w:numPr>
        <w:tabs>
          <w:tab w:val="num" w:pos="709"/>
        </w:tabs>
        <w:autoSpaceDE w:val="0"/>
        <w:autoSpaceDN w:val="0"/>
        <w:adjustRightInd w:val="0"/>
        <w:rPr>
          <w:rFonts w:cs="Arial"/>
          <w:sz w:val="22"/>
          <w:szCs w:val="22"/>
          <w:lang w:eastAsia="en-GB"/>
        </w:rPr>
      </w:pPr>
      <w:r w:rsidRPr="00C10306">
        <w:rPr>
          <w:rFonts w:cs="Arial"/>
          <w:sz w:val="22"/>
          <w:szCs w:val="22"/>
          <w:lang w:eastAsia="en-GB"/>
        </w:rPr>
        <w:t>Dark pink</w:t>
      </w:r>
      <w:r w:rsidRPr="00C10306">
        <w:rPr>
          <w:rFonts w:cs="Arial"/>
          <w:sz w:val="22"/>
          <w:szCs w:val="22"/>
          <w:lang w:eastAsia="en-GB"/>
        </w:rPr>
        <w:tab/>
        <w:t>5 years for Ultra-Short Dated Bond Funds with a credit score of 1.25</w:t>
      </w:r>
    </w:p>
    <w:p w14:paraId="5B926412" w14:textId="77777777" w:rsidR="005F53F9" w:rsidRPr="00C10306" w:rsidRDefault="005F53F9" w:rsidP="00C10306">
      <w:pPr>
        <w:pStyle w:val="ListParagraph"/>
        <w:numPr>
          <w:ilvl w:val="0"/>
          <w:numId w:val="1"/>
        </w:numPr>
        <w:tabs>
          <w:tab w:val="num" w:pos="709"/>
        </w:tabs>
        <w:autoSpaceDE w:val="0"/>
        <w:autoSpaceDN w:val="0"/>
        <w:adjustRightInd w:val="0"/>
        <w:rPr>
          <w:rFonts w:cs="Arial"/>
          <w:sz w:val="22"/>
          <w:szCs w:val="22"/>
          <w:lang w:eastAsia="en-GB"/>
        </w:rPr>
      </w:pPr>
      <w:r w:rsidRPr="00C10306">
        <w:rPr>
          <w:rFonts w:cs="Arial"/>
          <w:sz w:val="22"/>
          <w:szCs w:val="22"/>
          <w:lang w:eastAsia="en-GB"/>
        </w:rPr>
        <w:t>Light pink</w:t>
      </w:r>
      <w:r w:rsidRPr="00C10306">
        <w:rPr>
          <w:rFonts w:cs="Arial"/>
          <w:sz w:val="22"/>
          <w:szCs w:val="22"/>
          <w:lang w:eastAsia="en-GB"/>
        </w:rPr>
        <w:tab/>
        <w:t>5 years for Ultra-Short Dated Bond Funds with a credit score of 1.5</w:t>
      </w:r>
    </w:p>
    <w:p w14:paraId="1A15F716" w14:textId="77777777" w:rsidR="005F53F9" w:rsidRPr="00C10306" w:rsidRDefault="005F53F9" w:rsidP="00C10306">
      <w:pPr>
        <w:pStyle w:val="ListParagraph"/>
        <w:numPr>
          <w:ilvl w:val="0"/>
          <w:numId w:val="1"/>
        </w:numPr>
        <w:tabs>
          <w:tab w:val="num" w:pos="709"/>
        </w:tabs>
        <w:autoSpaceDE w:val="0"/>
        <w:autoSpaceDN w:val="0"/>
        <w:adjustRightInd w:val="0"/>
        <w:rPr>
          <w:rFonts w:cs="Arial"/>
          <w:sz w:val="22"/>
          <w:szCs w:val="22"/>
          <w:lang w:eastAsia="en-GB"/>
        </w:rPr>
      </w:pPr>
      <w:r w:rsidRPr="00C10306">
        <w:rPr>
          <w:rFonts w:cs="Arial"/>
          <w:sz w:val="22"/>
          <w:szCs w:val="22"/>
          <w:lang w:eastAsia="en-GB"/>
        </w:rPr>
        <w:t xml:space="preserve">Purple </w:t>
      </w:r>
      <w:r w:rsidRPr="00C10306">
        <w:rPr>
          <w:rFonts w:cs="Arial"/>
          <w:sz w:val="22"/>
          <w:szCs w:val="22"/>
          <w:lang w:eastAsia="en-GB"/>
        </w:rPr>
        <w:tab/>
        <w:t>2 years</w:t>
      </w:r>
    </w:p>
    <w:p w14:paraId="57B4B3B9" w14:textId="77777777" w:rsidR="005F53F9" w:rsidRPr="00C10306" w:rsidRDefault="005F53F9" w:rsidP="00C10306">
      <w:pPr>
        <w:pStyle w:val="ListParagraph"/>
        <w:numPr>
          <w:ilvl w:val="0"/>
          <w:numId w:val="1"/>
        </w:numPr>
        <w:tabs>
          <w:tab w:val="num" w:pos="709"/>
        </w:tabs>
        <w:autoSpaceDE w:val="0"/>
        <w:autoSpaceDN w:val="0"/>
        <w:adjustRightInd w:val="0"/>
        <w:rPr>
          <w:rFonts w:cs="Arial"/>
          <w:sz w:val="22"/>
          <w:szCs w:val="22"/>
          <w:lang w:eastAsia="en-GB"/>
        </w:rPr>
      </w:pPr>
      <w:r w:rsidRPr="00C10306">
        <w:rPr>
          <w:rFonts w:cs="Arial"/>
          <w:sz w:val="22"/>
          <w:szCs w:val="22"/>
          <w:lang w:eastAsia="en-GB"/>
        </w:rPr>
        <w:t xml:space="preserve">Blue </w:t>
      </w:r>
      <w:r w:rsidRPr="00C10306">
        <w:rPr>
          <w:rFonts w:cs="Arial"/>
          <w:sz w:val="22"/>
          <w:szCs w:val="22"/>
          <w:lang w:eastAsia="en-GB"/>
        </w:rPr>
        <w:tab/>
        <w:t>1 year (only applies to nationalised or semi nationalised UK Banks)</w:t>
      </w:r>
    </w:p>
    <w:p w14:paraId="4A5FAAE8" w14:textId="77777777" w:rsidR="005F53F9" w:rsidRPr="00C10306" w:rsidRDefault="005F53F9" w:rsidP="00C10306">
      <w:pPr>
        <w:pStyle w:val="ListParagraph"/>
        <w:numPr>
          <w:ilvl w:val="0"/>
          <w:numId w:val="1"/>
        </w:numPr>
        <w:tabs>
          <w:tab w:val="num" w:pos="709"/>
        </w:tabs>
        <w:autoSpaceDE w:val="0"/>
        <w:autoSpaceDN w:val="0"/>
        <w:adjustRightInd w:val="0"/>
        <w:rPr>
          <w:rFonts w:cs="Arial"/>
          <w:sz w:val="22"/>
          <w:szCs w:val="22"/>
          <w:lang w:eastAsia="en-GB"/>
        </w:rPr>
      </w:pPr>
      <w:r w:rsidRPr="00C10306">
        <w:rPr>
          <w:rFonts w:cs="Arial"/>
          <w:sz w:val="22"/>
          <w:szCs w:val="22"/>
          <w:lang w:eastAsia="en-GB"/>
        </w:rPr>
        <w:t>Orange</w:t>
      </w:r>
      <w:r w:rsidRPr="00C10306">
        <w:rPr>
          <w:rFonts w:cs="Arial"/>
          <w:sz w:val="22"/>
          <w:szCs w:val="22"/>
          <w:lang w:eastAsia="en-GB"/>
        </w:rPr>
        <w:tab/>
        <w:t>1 year</w:t>
      </w:r>
    </w:p>
    <w:p w14:paraId="532C52EF" w14:textId="77777777" w:rsidR="005F53F9" w:rsidRPr="00C10306" w:rsidRDefault="005F53F9" w:rsidP="00C10306">
      <w:pPr>
        <w:pStyle w:val="ListParagraph"/>
        <w:numPr>
          <w:ilvl w:val="0"/>
          <w:numId w:val="1"/>
        </w:numPr>
        <w:tabs>
          <w:tab w:val="num" w:pos="709"/>
        </w:tabs>
        <w:autoSpaceDE w:val="0"/>
        <w:autoSpaceDN w:val="0"/>
        <w:adjustRightInd w:val="0"/>
        <w:rPr>
          <w:rFonts w:cs="Arial"/>
          <w:sz w:val="22"/>
          <w:szCs w:val="22"/>
          <w:lang w:eastAsia="en-GB"/>
        </w:rPr>
      </w:pPr>
      <w:r w:rsidRPr="00C10306">
        <w:rPr>
          <w:rFonts w:cs="Arial"/>
          <w:sz w:val="22"/>
          <w:szCs w:val="22"/>
          <w:lang w:eastAsia="en-GB"/>
        </w:rPr>
        <w:t xml:space="preserve">Red </w:t>
      </w:r>
      <w:r w:rsidRPr="00C10306">
        <w:rPr>
          <w:rFonts w:cs="Arial"/>
          <w:sz w:val="22"/>
          <w:szCs w:val="22"/>
          <w:lang w:eastAsia="en-GB"/>
        </w:rPr>
        <w:tab/>
        <w:t>6 months</w:t>
      </w:r>
    </w:p>
    <w:p w14:paraId="66766DB1" w14:textId="77777777" w:rsidR="005F53F9" w:rsidRPr="00C10306" w:rsidRDefault="005F53F9" w:rsidP="00C10306">
      <w:pPr>
        <w:pStyle w:val="ListParagraph"/>
        <w:numPr>
          <w:ilvl w:val="0"/>
          <w:numId w:val="1"/>
        </w:numPr>
        <w:tabs>
          <w:tab w:val="num" w:pos="709"/>
        </w:tabs>
        <w:autoSpaceDE w:val="0"/>
        <w:autoSpaceDN w:val="0"/>
        <w:adjustRightInd w:val="0"/>
        <w:rPr>
          <w:rFonts w:cs="Arial"/>
          <w:sz w:val="22"/>
          <w:szCs w:val="22"/>
          <w:lang w:eastAsia="en-GB"/>
        </w:rPr>
      </w:pPr>
      <w:r w:rsidRPr="00C10306">
        <w:rPr>
          <w:rFonts w:cs="Arial"/>
          <w:sz w:val="22"/>
          <w:szCs w:val="22"/>
          <w:lang w:eastAsia="en-GB"/>
        </w:rPr>
        <w:t xml:space="preserve">Green </w:t>
      </w:r>
      <w:r w:rsidRPr="00C10306">
        <w:rPr>
          <w:rFonts w:cs="Arial"/>
          <w:sz w:val="22"/>
          <w:szCs w:val="22"/>
          <w:lang w:eastAsia="en-GB"/>
        </w:rPr>
        <w:tab/>
        <w:t xml:space="preserve">100 days  </w:t>
      </w:r>
    </w:p>
    <w:p w14:paraId="685B1B74" w14:textId="77777777" w:rsidR="005F53F9" w:rsidRPr="00C10306" w:rsidRDefault="005F53F9" w:rsidP="00C10306">
      <w:pPr>
        <w:pStyle w:val="ListParagraph"/>
        <w:numPr>
          <w:ilvl w:val="0"/>
          <w:numId w:val="1"/>
        </w:numPr>
        <w:tabs>
          <w:tab w:val="num" w:pos="709"/>
        </w:tabs>
        <w:autoSpaceDE w:val="0"/>
        <w:autoSpaceDN w:val="0"/>
        <w:adjustRightInd w:val="0"/>
        <w:rPr>
          <w:rFonts w:cs="Arial"/>
          <w:sz w:val="22"/>
          <w:szCs w:val="22"/>
          <w:lang w:eastAsia="en-GB"/>
        </w:rPr>
      </w:pPr>
      <w:r w:rsidRPr="00C10306">
        <w:rPr>
          <w:rFonts w:cs="Arial"/>
          <w:sz w:val="22"/>
          <w:szCs w:val="22"/>
          <w:lang w:eastAsia="en-GB"/>
        </w:rPr>
        <w:t xml:space="preserve">No colour </w:t>
      </w:r>
      <w:r w:rsidRPr="00C10306">
        <w:rPr>
          <w:rFonts w:cs="Arial"/>
          <w:sz w:val="22"/>
          <w:szCs w:val="22"/>
          <w:lang w:eastAsia="en-GB"/>
        </w:rPr>
        <w:tab/>
        <w:t xml:space="preserve">not to be </w:t>
      </w:r>
      <w:proofErr w:type="gramStart"/>
      <w:r w:rsidRPr="00C10306">
        <w:rPr>
          <w:rFonts w:cs="Arial"/>
          <w:sz w:val="22"/>
          <w:szCs w:val="22"/>
          <w:lang w:eastAsia="en-GB"/>
        </w:rPr>
        <w:t>used</w:t>
      </w:r>
      <w:proofErr w:type="gramEnd"/>
      <w:r w:rsidRPr="00C10306">
        <w:rPr>
          <w:rFonts w:cs="Arial"/>
          <w:sz w:val="22"/>
          <w:szCs w:val="22"/>
          <w:lang w:eastAsia="en-GB"/>
        </w:rPr>
        <w:t xml:space="preserve"> </w:t>
      </w:r>
    </w:p>
    <w:p w14:paraId="0A393086" w14:textId="77777777" w:rsidR="005F53F9" w:rsidRPr="005F53F9" w:rsidRDefault="005F53F9" w:rsidP="005F53F9">
      <w:pPr>
        <w:tabs>
          <w:tab w:val="left" w:pos="1985"/>
        </w:tabs>
        <w:rPr>
          <w:rFonts w:cs="Arial"/>
          <w:sz w:val="22"/>
          <w:szCs w:val="22"/>
        </w:rPr>
      </w:pPr>
    </w:p>
    <w:p w14:paraId="4F073010" w14:textId="77777777" w:rsidR="005F53F9" w:rsidRPr="00805B98" w:rsidRDefault="005F53F9" w:rsidP="005F53F9">
      <w:pPr>
        <w:numPr>
          <w:ilvl w:val="12"/>
          <w:numId w:val="0"/>
        </w:numPr>
        <w:tabs>
          <w:tab w:val="left" w:pos="0"/>
        </w:tabs>
        <w:jc w:val="both"/>
        <w:rPr>
          <w:rFonts w:cs="Arial"/>
          <w:szCs w:val="24"/>
        </w:rPr>
      </w:pPr>
      <w:bookmarkStart w:id="33" w:name="_Hlk86335164"/>
      <w:r w:rsidRPr="00805B98">
        <w:rPr>
          <w:rFonts w:cs="Arial"/>
          <w:szCs w:val="24"/>
        </w:rPr>
        <w:t>The Link creditworthiness service uses a wider array of information other than just primary ratings. Furthermore, by using a risk weighted scoring system, it does not give undue preponderance to just one agency’s ratings.</w:t>
      </w:r>
    </w:p>
    <w:p w14:paraId="61CBB62B" w14:textId="77777777" w:rsidR="005F53F9" w:rsidRPr="00805B98" w:rsidRDefault="005F53F9" w:rsidP="005F53F9">
      <w:pPr>
        <w:numPr>
          <w:ilvl w:val="12"/>
          <w:numId w:val="0"/>
        </w:numPr>
        <w:tabs>
          <w:tab w:val="left" w:pos="0"/>
        </w:tabs>
        <w:jc w:val="both"/>
        <w:rPr>
          <w:rFonts w:cs="Arial"/>
          <w:szCs w:val="24"/>
        </w:rPr>
      </w:pPr>
    </w:p>
    <w:p w14:paraId="5F188016" w14:textId="77777777" w:rsidR="005F53F9" w:rsidRPr="00805B98" w:rsidRDefault="005F53F9" w:rsidP="005F53F9">
      <w:pPr>
        <w:jc w:val="both"/>
        <w:rPr>
          <w:rFonts w:cs="Arial"/>
          <w:szCs w:val="24"/>
        </w:rPr>
      </w:pPr>
      <w:r w:rsidRPr="00805B98">
        <w:rPr>
          <w:rFonts w:cs="Arial"/>
          <w:szCs w:val="24"/>
        </w:rPr>
        <w:t>Typically, the minimum credit ratings criteria the Authority uses will be a short-term rating (Fitch or equivalents) of F1 and a long-term rating of A-. There may be occasions when the counterparty ratings from one rating agency are marginally lower than these ratings but may still be used.  In these instances, consideration will be given to the whole range of ratings available, or other topical market information, to support their use.</w:t>
      </w:r>
    </w:p>
    <w:p w14:paraId="49F6BE7B" w14:textId="77777777" w:rsidR="005F53F9" w:rsidRPr="00805B98" w:rsidRDefault="005F53F9" w:rsidP="005F53F9">
      <w:pPr>
        <w:numPr>
          <w:ilvl w:val="12"/>
          <w:numId w:val="0"/>
        </w:numPr>
        <w:tabs>
          <w:tab w:val="left" w:pos="0"/>
        </w:tabs>
        <w:jc w:val="both"/>
        <w:rPr>
          <w:rFonts w:cs="Arial"/>
          <w:szCs w:val="24"/>
        </w:rPr>
      </w:pPr>
    </w:p>
    <w:p w14:paraId="19F66381" w14:textId="77777777" w:rsidR="005F53F9" w:rsidRPr="00805B98" w:rsidRDefault="005F53F9" w:rsidP="005F53F9">
      <w:pPr>
        <w:tabs>
          <w:tab w:val="left" w:pos="0"/>
        </w:tabs>
        <w:spacing w:after="90"/>
        <w:jc w:val="both"/>
        <w:rPr>
          <w:rFonts w:cs="Arial"/>
          <w:szCs w:val="24"/>
        </w:rPr>
      </w:pPr>
      <w:r w:rsidRPr="00805B98">
        <w:rPr>
          <w:rFonts w:cs="Arial"/>
          <w:szCs w:val="24"/>
        </w:rPr>
        <w:t xml:space="preserve">The Authority is alerted to changes to ratings of all three agencies through its use of the Link creditworthiness service. </w:t>
      </w:r>
    </w:p>
    <w:p w14:paraId="1C541825" w14:textId="77777777" w:rsidR="005F53F9" w:rsidRPr="00805B98" w:rsidRDefault="005F53F9" w:rsidP="00C10306">
      <w:pPr>
        <w:pStyle w:val="ListParagraph"/>
        <w:numPr>
          <w:ilvl w:val="0"/>
          <w:numId w:val="1"/>
        </w:numPr>
        <w:tabs>
          <w:tab w:val="num" w:pos="709"/>
        </w:tabs>
        <w:autoSpaceDE w:val="0"/>
        <w:autoSpaceDN w:val="0"/>
        <w:adjustRightInd w:val="0"/>
        <w:rPr>
          <w:rFonts w:cs="Arial"/>
          <w:szCs w:val="24"/>
          <w:lang w:eastAsia="en-GB"/>
        </w:rPr>
      </w:pPr>
      <w:r w:rsidRPr="00805B98">
        <w:rPr>
          <w:rFonts w:cs="Arial"/>
          <w:szCs w:val="24"/>
          <w:lang w:eastAsia="en-GB"/>
        </w:rPr>
        <w:t>if a downgrade results in the counterparty / investment scheme no longer meeting the Authority’s minimum criteria, its further use as a new investment will be withdrawn immediately.</w:t>
      </w:r>
    </w:p>
    <w:p w14:paraId="612EF378" w14:textId="29ED7AE5" w:rsidR="005F53F9" w:rsidRPr="00805B98" w:rsidRDefault="005F53F9" w:rsidP="00C10306">
      <w:pPr>
        <w:pStyle w:val="ListParagraph"/>
        <w:numPr>
          <w:ilvl w:val="0"/>
          <w:numId w:val="1"/>
        </w:numPr>
        <w:tabs>
          <w:tab w:val="num" w:pos="709"/>
        </w:tabs>
        <w:autoSpaceDE w:val="0"/>
        <w:autoSpaceDN w:val="0"/>
        <w:adjustRightInd w:val="0"/>
        <w:rPr>
          <w:rFonts w:cs="Arial"/>
          <w:szCs w:val="24"/>
          <w:lang w:eastAsia="en-GB"/>
        </w:rPr>
      </w:pPr>
      <w:r w:rsidRPr="00805B98">
        <w:rPr>
          <w:rFonts w:cs="Arial"/>
          <w:szCs w:val="24"/>
          <w:lang w:eastAsia="en-GB"/>
        </w:rPr>
        <w:t xml:space="preserve">in addition to the use of credit ratings the Authority will be advised of information in movements in Credit Default Swap spreads against the </w:t>
      </w:r>
      <w:proofErr w:type="spellStart"/>
      <w:r w:rsidRPr="00805B98">
        <w:rPr>
          <w:rFonts w:cs="Arial"/>
          <w:szCs w:val="24"/>
          <w:lang w:eastAsia="en-GB"/>
        </w:rPr>
        <w:t>iTraxx</w:t>
      </w:r>
      <w:proofErr w:type="spellEnd"/>
      <w:r w:rsidRPr="00805B98">
        <w:rPr>
          <w:rFonts w:cs="Arial"/>
          <w:szCs w:val="24"/>
          <w:lang w:eastAsia="en-GB"/>
        </w:rPr>
        <w:t xml:space="preserve"> European Senior Financials benchmark and other market data on a </w:t>
      </w:r>
      <w:r w:rsidRPr="00805B98">
        <w:rPr>
          <w:rFonts w:cs="Arial"/>
          <w:szCs w:val="24"/>
          <w:lang w:eastAsia="en-GB"/>
        </w:rPr>
        <w:lastRenderedPageBreak/>
        <w:t xml:space="preserve">daily basis via its </w:t>
      </w:r>
      <w:proofErr w:type="gramStart"/>
      <w:r w:rsidRPr="00805B98">
        <w:rPr>
          <w:rFonts w:cs="Arial"/>
          <w:szCs w:val="24"/>
          <w:lang w:eastAsia="en-GB"/>
        </w:rPr>
        <w:t>Passport</w:t>
      </w:r>
      <w:proofErr w:type="gramEnd"/>
      <w:r w:rsidRPr="00805B98">
        <w:rPr>
          <w:rFonts w:cs="Arial"/>
          <w:szCs w:val="24"/>
          <w:lang w:eastAsia="en-GB"/>
        </w:rPr>
        <w:t xml:space="preserve"> website, provided exclusively to it by Link. Extreme market movements may result in downgrade of an institution or removal from the Authority’s lending list.</w:t>
      </w:r>
    </w:p>
    <w:p w14:paraId="16907D09" w14:textId="77777777" w:rsidR="00C10306" w:rsidRPr="00805B98" w:rsidRDefault="00C10306" w:rsidP="00C10306">
      <w:pPr>
        <w:pStyle w:val="ListParagraph"/>
        <w:tabs>
          <w:tab w:val="left" w:pos="360"/>
        </w:tabs>
        <w:autoSpaceDE w:val="0"/>
        <w:autoSpaceDN w:val="0"/>
        <w:adjustRightInd w:val="0"/>
        <w:ind w:left="360"/>
        <w:rPr>
          <w:rFonts w:cs="Arial"/>
          <w:szCs w:val="24"/>
          <w:lang w:eastAsia="en-GB"/>
        </w:rPr>
      </w:pPr>
    </w:p>
    <w:p w14:paraId="613F2CFD" w14:textId="77777777" w:rsidR="005F53F9" w:rsidRPr="00805B98" w:rsidRDefault="005F53F9" w:rsidP="005F53F9">
      <w:pPr>
        <w:jc w:val="both"/>
        <w:rPr>
          <w:rFonts w:cs="Arial"/>
          <w:szCs w:val="24"/>
        </w:rPr>
      </w:pPr>
      <w:r w:rsidRPr="00805B98">
        <w:rPr>
          <w:rFonts w:cs="Arial"/>
          <w:szCs w:val="24"/>
        </w:rPr>
        <w:t xml:space="preserve">Sole reliance will not be placed on the use of this external service.  In addition, this Authority will also use market data and market information, as well as information on any external support for banks to help support its decision-making process. </w:t>
      </w:r>
    </w:p>
    <w:bookmarkEnd w:id="33"/>
    <w:p w14:paraId="06FDBE95" w14:textId="77777777" w:rsidR="005F53F9" w:rsidRPr="00D07ABD" w:rsidRDefault="005F53F9" w:rsidP="005F53F9">
      <w:pPr>
        <w:tabs>
          <w:tab w:val="left" w:pos="1985"/>
        </w:tabs>
        <w:rPr>
          <w:rFonts w:cs="Arial"/>
          <w:sz w:val="22"/>
          <w:szCs w:val="22"/>
        </w:rPr>
      </w:pPr>
      <w:r w:rsidRPr="00D07ABD">
        <w:rPr>
          <w:rFonts w:cs="Arial"/>
          <w:noProof/>
          <w:lang w:eastAsia="en-GB"/>
        </w:rPr>
        <w:drawing>
          <wp:anchor distT="0" distB="0" distL="114300" distR="114300" simplePos="0" relativeHeight="251659264" behindDoc="1" locked="0" layoutInCell="1" allowOverlap="1" wp14:anchorId="6B39CDA7" wp14:editId="23936400">
            <wp:simplePos x="0" y="0"/>
            <wp:positionH relativeFrom="margin">
              <wp:align>left</wp:align>
            </wp:positionH>
            <wp:positionV relativeFrom="paragraph">
              <wp:posOffset>211455</wp:posOffset>
            </wp:positionV>
            <wp:extent cx="5631815" cy="572135"/>
            <wp:effectExtent l="0" t="0" r="6985" b="0"/>
            <wp:wrapTight wrapText="bothSides">
              <wp:wrapPolygon edited="0">
                <wp:start x="0" y="0"/>
                <wp:lineTo x="0" y="20857"/>
                <wp:lineTo x="21554" y="20857"/>
                <wp:lineTo x="21554" y="0"/>
                <wp:lineTo x="0" y="0"/>
              </wp:wrapPolygon>
            </wp:wrapTight>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srcRect/>
                    <a:stretch>
                      <a:fillRect/>
                    </a:stretch>
                  </pic:blipFill>
                  <pic:spPr bwMode="auto">
                    <a:xfrm>
                      <a:off x="0" y="0"/>
                      <a:ext cx="5631815" cy="572135"/>
                    </a:xfrm>
                    <a:prstGeom prst="rect">
                      <a:avLst/>
                    </a:prstGeom>
                    <a:noFill/>
                  </pic:spPr>
                </pic:pic>
              </a:graphicData>
            </a:graphic>
            <wp14:sizeRelH relativeFrom="margin">
              <wp14:pctWidth>0</wp14:pctWidth>
            </wp14:sizeRelH>
          </wp:anchor>
        </w:drawing>
      </w:r>
    </w:p>
    <w:p w14:paraId="4F851ADE" w14:textId="77777777" w:rsidR="005F53F9" w:rsidRPr="00D07ABD" w:rsidRDefault="005F53F9" w:rsidP="005F53F9">
      <w:pPr>
        <w:tabs>
          <w:tab w:val="left" w:pos="1985"/>
        </w:tabs>
        <w:rPr>
          <w:rFonts w:cs="Arial"/>
          <w:sz w:val="22"/>
          <w:szCs w:val="22"/>
        </w:rPr>
      </w:pPr>
    </w:p>
    <w:tbl>
      <w:tblPr>
        <w:tblW w:w="7632" w:type="dxa"/>
        <w:tblCellSpacing w:w="0" w:type="dxa"/>
        <w:tblCellMar>
          <w:left w:w="0" w:type="dxa"/>
          <w:right w:w="0" w:type="dxa"/>
        </w:tblCellMar>
        <w:tblLook w:val="0000" w:firstRow="0" w:lastRow="0" w:firstColumn="0" w:lastColumn="0" w:noHBand="0" w:noVBand="0"/>
      </w:tblPr>
      <w:tblGrid>
        <w:gridCol w:w="3149"/>
        <w:gridCol w:w="1825"/>
        <w:gridCol w:w="1524"/>
        <w:gridCol w:w="1134"/>
      </w:tblGrid>
      <w:tr w:rsidR="005F53F9" w:rsidRPr="00D07ABD" w14:paraId="2805919D" w14:textId="77777777" w:rsidTr="00B23D61">
        <w:trPr>
          <w:trHeight w:val="480"/>
          <w:tblCellSpacing w:w="0" w:type="dxa"/>
        </w:trPr>
        <w:tc>
          <w:tcPr>
            <w:tcW w:w="3149" w:type="dxa"/>
            <w:tcBorders>
              <w:top w:val="single" w:sz="4" w:space="0" w:color="auto"/>
              <w:left w:val="single" w:sz="4" w:space="0" w:color="auto"/>
              <w:bottom w:val="single" w:sz="6" w:space="0" w:color="000000"/>
              <w:right w:val="single" w:sz="6" w:space="0" w:color="000000"/>
            </w:tcBorders>
            <w:shd w:val="clear" w:color="auto" w:fill="C0C0C0"/>
          </w:tcPr>
          <w:p w14:paraId="40648E17" w14:textId="77777777" w:rsidR="005F53F9" w:rsidRPr="00D07ABD" w:rsidRDefault="005F53F9" w:rsidP="00B23D61">
            <w:pPr>
              <w:pStyle w:val="BodyText2"/>
              <w:spacing w:after="120"/>
              <w:rPr>
                <w:b/>
                <w:iCs/>
              </w:rPr>
            </w:pPr>
            <w:r w:rsidRPr="00D07ABD">
              <w:rPr>
                <w:b/>
                <w:iCs/>
              </w:rPr>
              <w:t> </w:t>
            </w:r>
          </w:p>
        </w:tc>
        <w:tc>
          <w:tcPr>
            <w:tcW w:w="1825" w:type="dxa"/>
            <w:tcBorders>
              <w:top w:val="single" w:sz="4" w:space="0" w:color="auto"/>
              <w:left w:val="single" w:sz="4" w:space="0" w:color="auto"/>
              <w:bottom w:val="single" w:sz="6" w:space="0" w:color="000000"/>
              <w:right w:val="single" w:sz="4" w:space="0" w:color="auto"/>
            </w:tcBorders>
            <w:shd w:val="clear" w:color="auto" w:fill="C0C0C0"/>
          </w:tcPr>
          <w:p w14:paraId="6CABE138" w14:textId="77777777" w:rsidR="005F53F9" w:rsidRPr="00D07ABD" w:rsidRDefault="005F53F9" w:rsidP="00B23D61">
            <w:pPr>
              <w:pStyle w:val="BodyText2"/>
              <w:spacing w:after="120"/>
              <w:jc w:val="center"/>
              <w:rPr>
                <w:b/>
                <w:iCs/>
              </w:rPr>
            </w:pPr>
            <w:r w:rsidRPr="00D07ABD">
              <w:rPr>
                <w:b/>
                <w:iCs/>
              </w:rPr>
              <w:t>Colour (and long-term rating where applicable)</w:t>
            </w:r>
          </w:p>
        </w:tc>
        <w:tc>
          <w:tcPr>
            <w:tcW w:w="1524" w:type="dxa"/>
            <w:tcBorders>
              <w:top w:val="single" w:sz="4" w:space="0" w:color="auto"/>
              <w:left w:val="single" w:sz="6" w:space="0" w:color="000000"/>
              <w:bottom w:val="single" w:sz="6" w:space="0" w:color="000000"/>
              <w:right w:val="single" w:sz="6" w:space="0" w:color="000000"/>
            </w:tcBorders>
            <w:shd w:val="clear" w:color="auto" w:fill="C0C0C0"/>
          </w:tcPr>
          <w:p w14:paraId="18EC0B85" w14:textId="77777777" w:rsidR="005F53F9" w:rsidRPr="00D07ABD" w:rsidRDefault="005F53F9" w:rsidP="00B23D61">
            <w:pPr>
              <w:pStyle w:val="BodyText2"/>
              <w:spacing w:after="120"/>
              <w:jc w:val="center"/>
              <w:rPr>
                <w:b/>
                <w:iCs/>
              </w:rPr>
            </w:pPr>
            <w:proofErr w:type="gramStart"/>
            <w:r>
              <w:rPr>
                <w:b/>
                <w:iCs/>
              </w:rPr>
              <w:t xml:space="preserve">Monetary  </w:t>
            </w:r>
            <w:r w:rsidRPr="00D07ABD">
              <w:rPr>
                <w:b/>
                <w:iCs/>
              </w:rPr>
              <w:t>limit</w:t>
            </w:r>
            <w:proofErr w:type="gramEnd"/>
            <w:r>
              <w:rPr>
                <w:b/>
                <w:iCs/>
              </w:rPr>
              <w:t xml:space="preserve"> per Counterparty</w:t>
            </w:r>
          </w:p>
        </w:tc>
        <w:tc>
          <w:tcPr>
            <w:tcW w:w="1134" w:type="dxa"/>
            <w:tcBorders>
              <w:top w:val="single" w:sz="4" w:space="0" w:color="auto"/>
              <w:left w:val="single" w:sz="6" w:space="0" w:color="000000"/>
              <w:bottom w:val="single" w:sz="6" w:space="0" w:color="000000"/>
              <w:right w:val="single" w:sz="4" w:space="0" w:color="auto"/>
            </w:tcBorders>
            <w:shd w:val="clear" w:color="auto" w:fill="C0C0C0"/>
          </w:tcPr>
          <w:p w14:paraId="3282AFA1" w14:textId="77777777" w:rsidR="005F53F9" w:rsidRPr="00D07ABD" w:rsidRDefault="005F53F9" w:rsidP="00B23D61">
            <w:pPr>
              <w:pStyle w:val="BodyText2"/>
              <w:spacing w:after="120"/>
              <w:jc w:val="center"/>
              <w:rPr>
                <w:b/>
                <w:iCs/>
              </w:rPr>
            </w:pPr>
            <w:r>
              <w:rPr>
                <w:b/>
                <w:iCs/>
              </w:rPr>
              <w:t>Duration</w:t>
            </w:r>
          </w:p>
          <w:p w14:paraId="5A9883CF" w14:textId="77777777" w:rsidR="005F53F9" w:rsidRPr="00D07ABD" w:rsidRDefault="005F53F9" w:rsidP="00B23D61">
            <w:pPr>
              <w:pStyle w:val="BodyText2"/>
              <w:spacing w:after="120"/>
              <w:jc w:val="center"/>
              <w:rPr>
                <w:b/>
                <w:iCs/>
              </w:rPr>
            </w:pPr>
            <w:r w:rsidRPr="00D07ABD">
              <w:rPr>
                <w:b/>
                <w:iCs/>
              </w:rPr>
              <w:t>limit</w:t>
            </w:r>
          </w:p>
        </w:tc>
      </w:tr>
      <w:tr w:rsidR="005F53F9" w:rsidRPr="00D07ABD" w14:paraId="332C2BB9" w14:textId="77777777" w:rsidTr="00B23D61">
        <w:trPr>
          <w:trHeight w:val="330"/>
          <w:tblCellSpacing w:w="0" w:type="dxa"/>
        </w:trPr>
        <w:tc>
          <w:tcPr>
            <w:tcW w:w="3149" w:type="dxa"/>
            <w:tcBorders>
              <w:top w:val="single" w:sz="6" w:space="0" w:color="000000"/>
              <w:left w:val="single" w:sz="4" w:space="0" w:color="auto"/>
              <w:bottom w:val="single" w:sz="6" w:space="0" w:color="000000"/>
              <w:right w:val="single" w:sz="6" w:space="0" w:color="000000"/>
            </w:tcBorders>
          </w:tcPr>
          <w:p w14:paraId="78AFFFB6" w14:textId="55DA5446" w:rsidR="005F53F9" w:rsidRPr="00D07ABD" w:rsidRDefault="005F53F9" w:rsidP="00B23D61">
            <w:pPr>
              <w:pStyle w:val="BodyText2"/>
              <w:spacing w:after="120"/>
              <w:rPr>
                <w:b/>
                <w:iCs/>
              </w:rPr>
            </w:pPr>
            <w:r w:rsidRPr="00D07ABD">
              <w:rPr>
                <w:b/>
                <w:iCs/>
              </w:rPr>
              <w:t>Banks</w:t>
            </w:r>
            <w:r w:rsidR="00D14F60">
              <w:rPr>
                <w:b/>
                <w:iCs/>
              </w:rPr>
              <w:t xml:space="preserve"> &amp; UK Government </w:t>
            </w:r>
          </w:p>
        </w:tc>
        <w:tc>
          <w:tcPr>
            <w:tcW w:w="1825" w:type="dxa"/>
            <w:tcBorders>
              <w:top w:val="single" w:sz="6" w:space="0" w:color="000000"/>
              <w:left w:val="single" w:sz="4" w:space="0" w:color="auto"/>
              <w:bottom w:val="single" w:sz="6" w:space="0" w:color="000000"/>
              <w:right w:val="single" w:sz="4" w:space="0" w:color="auto"/>
            </w:tcBorders>
          </w:tcPr>
          <w:p w14:paraId="12F1D47E" w14:textId="77777777" w:rsidR="005F53F9" w:rsidRPr="00D07ABD" w:rsidRDefault="005F53F9" w:rsidP="00B23D61">
            <w:pPr>
              <w:pStyle w:val="BodyText2"/>
              <w:spacing w:after="120"/>
              <w:jc w:val="center"/>
              <w:rPr>
                <w:b/>
                <w:iCs/>
              </w:rPr>
            </w:pPr>
            <w:r>
              <w:rPr>
                <w:b/>
                <w:iCs/>
              </w:rPr>
              <w:t>Y</w:t>
            </w:r>
            <w:r w:rsidRPr="00D07ABD">
              <w:rPr>
                <w:b/>
                <w:iCs/>
              </w:rPr>
              <w:t>ellow</w:t>
            </w:r>
          </w:p>
        </w:tc>
        <w:tc>
          <w:tcPr>
            <w:tcW w:w="1524" w:type="dxa"/>
            <w:tcBorders>
              <w:top w:val="single" w:sz="6" w:space="0" w:color="000000"/>
              <w:left w:val="single" w:sz="6" w:space="0" w:color="000000"/>
              <w:bottom w:val="single" w:sz="6" w:space="0" w:color="000000"/>
              <w:right w:val="single" w:sz="6" w:space="0" w:color="000000"/>
            </w:tcBorders>
          </w:tcPr>
          <w:p w14:paraId="6271A47D" w14:textId="77777777" w:rsidR="005F53F9" w:rsidRPr="00D07ABD" w:rsidRDefault="005F53F9" w:rsidP="00B23D61">
            <w:pPr>
              <w:pStyle w:val="BodyText2"/>
              <w:spacing w:after="120"/>
              <w:jc w:val="center"/>
              <w:rPr>
                <w:b/>
                <w:iCs/>
              </w:rPr>
            </w:pPr>
            <w:r w:rsidRPr="00D07ABD">
              <w:rPr>
                <w:b/>
                <w:iCs/>
              </w:rPr>
              <w:t>£</w:t>
            </w:r>
            <w:r>
              <w:rPr>
                <w:b/>
                <w:iCs/>
              </w:rPr>
              <w:t>20</w:t>
            </w:r>
            <w:r w:rsidRPr="00D07ABD">
              <w:rPr>
                <w:b/>
                <w:iCs/>
              </w:rPr>
              <w:t>m</w:t>
            </w:r>
          </w:p>
        </w:tc>
        <w:tc>
          <w:tcPr>
            <w:tcW w:w="1134" w:type="dxa"/>
            <w:tcBorders>
              <w:top w:val="single" w:sz="6" w:space="0" w:color="000000"/>
              <w:left w:val="single" w:sz="6" w:space="0" w:color="000000"/>
              <w:bottom w:val="single" w:sz="6" w:space="0" w:color="000000"/>
              <w:right w:val="single" w:sz="4" w:space="0" w:color="auto"/>
            </w:tcBorders>
          </w:tcPr>
          <w:p w14:paraId="3CC02A86" w14:textId="77777777" w:rsidR="005F53F9" w:rsidRPr="00D07ABD" w:rsidRDefault="005F53F9" w:rsidP="00B23D61">
            <w:pPr>
              <w:pStyle w:val="BodyText2"/>
              <w:spacing w:after="120"/>
              <w:jc w:val="center"/>
              <w:rPr>
                <w:b/>
                <w:iCs/>
              </w:rPr>
            </w:pPr>
            <w:r w:rsidRPr="00D07ABD">
              <w:rPr>
                <w:b/>
                <w:iCs/>
              </w:rPr>
              <w:t>5yrs</w:t>
            </w:r>
          </w:p>
        </w:tc>
      </w:tr>
      <w:tr w:rsidR="005F53F9" w:rsidRPr="00D07ABD" w14:paraId="56BBD21F" w14:textId="77777777" w:rsidTr="00B23D61">
        <w:trPr>
          <w:trHeight w:val="330"/>
          <w:tblCellSpacing w:w="0" w:type="dxa"/>
        </w:trPr>
        <w:tc>
          <w:tcPr>
            <w:tcW w:w="3149" w:type="dxa"/>
            <w:tcBorders>
              <w:top w:val="single" w:sz="6" w:space="0" w:color="000000"/>
              <w:left w:val="single" w:sz="4" w:space="0" w:color="auto"/>
              <w:bottom w:val="single" w:sz="6" w:space="0" w:color="000000"/>
              <w:right w:val="single" w:sz="6" w:space="0" w:color="000000"/>
            </w:tcBorders>
          </w:tcPr>
          <w:p w14:paraId="40963844" w14:textId="77777777" w:rsidR="005F53F9" w:rsidRPr="00D07ABD" w:rsidRDefault="005F53F9" w:rsidP="00B23D61">
            <w:pPr>
              <w:pStyle w:val="BodyText2"/>
              <w:spacing w:after="120"/>
              <w:rPr>
                <w:b/>
                <w:iCs/>
              </w:rPr>
            </w:pPr>
            <w:r w:rsidRPr="00D07ABD">
              <w:rPr>
                <w:b/>
                <w:iCs/>
              </w:rPr>
              <w:t xml:space="preserve">Banks </w:t>
            </w:r>
          </w:p>
        </w:tc>
        <w:tc>
          <w:tcPr>
            <w:tcW w:w="1825" w:type="dxa"/>
            <w:tcBorders>
              <w:top w:val="single" w:sz="6" w:space="0" w:color="000000"/>
              <w:left w:val="single" w:sz="4" w:space="0" w:color="auto"/>
              <w:bottom w:val="single" w:sz="6" w:space="0" w:color="000000"/>
              <w:right w:val="single" w:sz="4" w:space="0" w:color="auto"/>
            </w:tcBorders>
          </w:tcPr>
          <w:p w14:paraId="5DF95D4C" w14:textId="77777777" w:rsidR="005F53F9" w:rsidRPr="00D07ABD" w:rsidRDefault="005F53F9" w:rsidP="00B23D61">
            <w:pPr>
              <w:pStyle w:val="BodyText2"/>
              <w:spacing w:after="120"/>
              <w:jc w:val="center"/>
              <w:rPr>
                <w:b/>
                <w:iCs/>
              </w:rPr>
            </w:pPr>
            <w:r>
              <w:rPr>
                <w:b/>
                <w:iCs/>
              </w:rPr>
              <w:t>P</w:t>
            </w:r>
            <w:r w:rsidRPr="00D07ABD">
              <w:rPr>
                <w:b/>
                <w:iCs/>
              </w:rPr>
              <w:t>urple</w:t>
            </w:r>
          </w:p>
        </w:tc>
        <w:tc>
          <w:tcPr>
            <w:tcW w:w="1524" w:type="dxa"/>
            <w:tcBorders>
              <w:top w:val="single" w:sz="6" w:space="0" w:color="000000"/>
              <w:left w:val="single" w:sz="6" w:space="0" w:color="000000"/>
              <w:bottom w:val="single" w:sz="6" w:space="0" w:color="000000"/>
              <w:right w:val="single" w:sz="6" w:space="0" w:color="000000"/>
            </w:tcBorders>
          </w:tcPr>
          <w:p w14:paraId="427D0939" w14:textId="77777777" w:rsidR="005F53F9" w:rsidRPr="00D07ABD" w:rsidRDefault="005F53F9" w:rsidP="00B23D61">
            <w:pPr>
              <w:pStyle w:val="BodyText2"/>
              <w:spacing w:after="120"/>
              <w:jc w:val="center"/>
              <w:rPr>
                <w:b/>
                <w:iCs/>
              </w:rPr>
            </w:pPr>
            <w:r w:rsidRPr="00D07ABD">
              <w:rPr>
                <w:b/>
                <w:iCs/>
              </w:rPr>
              <w:t>£</w:t>
            </w:r>
            <w:r>
              <w:rPr>
                <w:b/>
                <w:iCs/>
              </w:rPr>
              <w:t>20</w:t>
            </w:r>
            <w:r w:rsidRPr="00D07ABD">
              <w:rPr>
                <w:b/>
                <w:iCs/>
              </w:rPr>
              <w:t>m</w:t>
            </w:r>
          </w:p>
        </w:tc>
        <w:tc>
          <w:tcPr>
            <w:tcW w:w="1134" w:type="dxa"/>
            <w:tcBorders>
              <w:top w:val="single" w:sz="6" w:space="0" w:color="000000"/>
              <w:left w:val="single" w:sz="6" w:space="0" w:color="000000"/>
              <w:bottom w:val="single" w:sz="6" w:space="0" w:color="000000"/>
              <w:right w:val="single" w:sz="4" w:space="0" w:color="auto"/>
            </w:tcBorders>
          </w:tcPr>
          <w:p w14:paraId="51D796AA" w14:textId="77777777" w:rsidR="005F53F9" w:rsidRPr="00D07ABD" w:rsidRDefault="005F53F9" w:rsidP="00B23D61">
            <w:pPr>
              <w:pStyle w:val="BodyText2"/>
              <w:spacing w:after="120"/>
              <w:jc w:val="center"/>
              <w:rPr>
                <w:b/>
                <w:iCs/>
              </w:rPr>
            </w:pPr>
            <w:r w:rsidRPr="00D07ABD">
              <w:rPr>
                <w:b/>
                <w:iCs/>
              </w:rPr>
              <w:t xml:space="preserve">2 </w:t>
            </w:r>
            <w:proofErr w:type="spellStart"/>
            <w:r w:rsidRPr="00D07ABD">
              <w:rPr>
                <w:b/>
                <w:iCs/>
              </w:rPr>
              <w:t>yrs</w:t>
            </w:r>
            <w:proofErr w:type="spellEnd"/>
          </w:p>
        </w:tc>
      </w:tr>
      <w:tr w:rsidR="005F53F9" w:rsidRPr="00D07ABD" w14:paraId="60F60FDD" w14:textId="77777777" w:rsidTr="00B23D61">
        <w:trPr>
          <w:trHeight w:val="330"/>
          <w:tblCellSpacing w:w="0" w:type="dxa"/>
        </w:trPr>
        <w:tc>
          <w:tcPr>
            <w:tcW w:w="3149" w:type="dxa"/>
            <w:tcBorders>
              <w:top w:val="single" w:sz="6" w:space="0" w:color="000000"/>
              <w:left w:val="single" w:sz="4" w:space="0" w:color="auto"/>
              <w:bottom w:val="single" w:sz="6" w:space="0" w:color="000000"/>
              <w:right w:val="single" w:sz="6" w:space="0" w:color="000000"/>
            </w:tcBorders>
          </w:tcPr>
          <w:p w14:paraId="7E78CB58" w14:textId="77777777" w:rsidR="005F53F9" w:rsidRPr="00D07ABD" w:rsidRDefault="005F53F9" w:rsidP="00B23D61">
            <w:pPr>
              <w:pStyle w:val="BodyText2"/>
              <w:spacing w:after="120"/>
              <w:rPr>
                <w:b/>
                <w:iCs/>
              </w:rPr>
            </w:pPr>
            <w:r w:rsidRPr="00D07ABD">
              <w:rPr>
                <w:b/>
                <w:iCs/>
              </w:rPr>
              <w:t xml:space="preserve">Banks </w:t>
            </w:r>
            <w:r>
              <w:rPr>
                <w:b/>
                <w:iCs/>
              </w:rPr>
              <w:t>&amp; Building Societies</w:t>
            </w:r>
          </w:p>
        </w:tc>
        <w:tc>
          <w:tcPr>
            <w:tcW w:w="1825" w:type="dxa"/>
            <w:tcBorders>
              <w:top w:val="single" w:sz="6" w:space="0" w:color="000000"/>
              <w:left w:val="single" w:sz="4" w:space="0" w:color="auto"/>
              <w:bottom w:val="single" w:sz="6" w:space="0" w:color="000000"/>
              <w:right w:val="single" w:sz="4" w:space="0" w:color="auto"/>
            </w:tcBorders>
          </w:tcPr>
          <w:p w14:paraId="7B1DF83C" w14:textId="77777777" w:rsidR="005F53F9" w:rsidRPr="00D07ABD" w:rsidRDefault="005F53F9" w:rsidP="00B23D61">
            <w:pPr>
              <w:pStyle w:val="BodyText2"/>
              <w:spacing w:after="120"/>
              <w:jc w:val="center"/>
              <w:rPr>
                <w:b/>
                <w:iCs/>
              </w:rPr>
            </w:pPr>
            <w:r>
              <w:rPr>
                <w:b/>
                <w:iCs/>
              </w:rPr>
              <w:t>O</w:t>
            </w:r>
            <w:r w:rsidRPr="00D07ABD">
              <w:rPr>
                <w:b/>
                <w:iCs/>
              </w:rPr>
              <w:t>range</w:t>
            </w:r>
          </w:p>
        </w:tc>
        <w:tc>
          <w:tcPr>
            <w:tcW w:w="1524" w:type="dxa"/>
            <w:tcBorders>
              <w:top w:val="single" w:sz="6" w:space="0" w:color="000000"/>
              <w:left w:val="single" w:sz="6" w:space="0" w:color="000000"/>
              <w:bottom w:val="single" w:sz="6" w:space="0" w:color="000000"/>
              <w:right w:val="single" w:sz="6" w:space="0" w:color="000000"/>
            </w:tcBorders>
          </w:tcPr>
          <w:p w14:paraId="47C90D02" w14:textId="77777777" w:rsidR="005F53F9" w:rsidRPr="00D07ABD" w:rsidRDefault="005F53F9" w:rsidP="00B23D61">
            <w:pPr>
              <w:pStyle w:val="BodyText2"/>
              <w:spacing w:after="120"/>
              <w:jc w:val="center"/>
              <w:rPr>
                <w:b/>
                <w:iCs/>
              </w:rPr>
            </w:pPr>
            <w:r w:rsidRPr="00D07ABD">
              <w:rPr>
                <w:b/>
                <w:iCs/>
              </w:rPr>
              <w:t>£</w:t>
            </w:r>
            <w:r>
              <w:rPr>
                <w:b/>
                <w:iCs/>
              </w:rPr>
              <w:t>20</w:t>
            </w:r>
            <w:r w:rsidRPr="00D07ABD">
              <w:rPr>
                <w:b/>
                <w:iCs/>
              </w:rPr>
              <w:t>m</w:t>
            </w:r>
          </w:p>
        </w:tc>
        <w:tc>
          <w:tcPr>
            <w:tcW w:w="1134" w:type="dxa"/>
            <w:tcBorders>
              <w:top w:val="single" w:sz="6" w:space="0" w:color="000000"/>
              <w:left w:val="single" w:sz="6" w:space="0" w:color="000000"/>
              <w:bottom w:val="single" w:sz="6" w:space="0" w:color="000000"/>
              <w:right w:val="single" w:sz="4" w:space="0" w:color="auto"/>
            </w:tcBorders>
          </w:tcPr>
          <w:p w14:paraId="0704DF45" w14:textId="77777777" w:rsidR="005F53F9" w:rsidRPr="00D07ABD" w:rsidRDefault="005F53F9" w:rsidP="00B23D61">
            <w:pPr>
              <w:pStyle w:val="BodyText2"/>
              <w:spacing w:after="120"/>
              <w:jc w:val="center"/>
              <w:rPr>
                <w:b/>
                <w:iCs/>
              </w:rPr>
            </w:pPr>
            <w:r w:rsidRPr="00D07ABD">
              <w:rPr>
                <w:b/>
                <w:iCs/>
              </w:rPr>
              <w:t xml:space="preserve">1 </w:t>
            </w:r>
            <w:proofErr w:type="spellStart"/>
            <w:r w:rsidRPr="00D07ABD">
              <w:rPr>
                <w:b/>
                <w:iCs/>
              </w:rPr>
              <w:t>yr</w:t>
            </w:r>
            <w:proofErr w:type="spellEnd"/>
          </w:p>
        </w:tc>
      </w:tr>
      <w:tr w:rsidR="005F53F9" w:rsidRPr="00D07ABD" w14:paraId="16F4ACCA" w14:textId="77777777" w:rsidTr="00B23D61">
        <w:trPr>
          <w:trHeight w:val="330"/>
          <w:tblCellSpacing w:w="0" w:type="dxa"/>
        </w:trPr>
        <w:tc>
          <w:tcPr>
            <w:tcW w:w="3149" w:type="dxa"/>
            <w:tcBorders>
              <w:top w:val="single" w:sz="6" w:space="0" w:color="000000"/>
              <w:left w:val="single" w:sz="4" w:space="0" w:color="auto"/>
              <w:bottom w:val="single" w:sz="6" w:space="0" w:color="000000"/>
              <w:right w:val="single" w:sz="6" w:space="0" w:color="000000"/>
            </w:tcBorders>
          </w:tcPr>
          <w:p w14:paraId="5ACB7B28" w14:textId="77777777" w:rsidR="005F53F9" w:rsidRPr="00D07ABD" w:rsidRDefault="005F53F9" w:rsidP="00B23D61">
            <w:pPr>
              <w:pStyle w:val="BodyText2"/>
              <w:spacing w:after="120"/>
              <w:rPr>
                <w:b/>
                <w:iCs/>
              </w:rPr>
            </w:pPr>
            <w:r w:rsidRPr="00D07ABD">
              <w:rPr>
                <w:b/>
                <w:iCs/>
              </w:rPr>
              <w:t>Banks – part nationalised</w:t>
            </w:r>
          </w:p>
        </w:tc>
        <w:tc>
          <w:tcPr>
            <w:tcW w:w="1825" w:type="dxa"/>
            <w:tcBorders>
              <w:top w:val="single" w:sz="6" w:space="0" w:color="000000"/>
              <w:left w:val="single" w:sz="4" w:space="0" w:color="auto"/>
              <w:bottom w:val="single" w:sz="6" w:space="0" w:color="000000"/>
              <w:right w:val="single" w:sz="4" w:space="0" w:color="auto"/>
            </w:tcBorders>
          </w:tcPr>
          <w:p w14:paraId="4B40A09F" w14:textId="77777777" w:rsidR="005F53F9" w:rsidRPr="00D07ABD" w:rsidRDefault="005F53F9" w:rsidP="00B23D61">
            <w:pPr>
              <w:pStyle w:val="BodyText2"/>
              <w:spacing w:after="120"/>
              <w:jc w:val="center"/>
              <w:rPr>
                <w:b/>
                <w:iCs/>
              </w:rPr>
            </w:pPr>
            <w:r>
              <w:rPr>
                <w:b/>
                <w:iCs/>
              </w:rPr>
              <w:t>B</w:t>
            </w:r>
            <w:r w:rsidRPr="00D07ABD">
              <w:rPr>
                <w:b/>
                <w:iCs/>
              </w:rPr>
              <w:t>lue</w:t>
            </w:r>
          </w:p>
        </w:tc>
        <w:tc>
          <w:tcPr>
            <w:tcW w:w="1524" w:type="dxa"/>
            <w:tcBorders>
              <w:top w:val="single" w:sz="6" w:space="0" w:color="000000"/>
              <w:left w:val="single" w:sz="6" w:space="0" w:color="000000"/>
              <w:bottom w:val="single" w:sz="6" w:space="0" w:color="000000"/>
              <w:right w:val="single" w:sz="6" w:space="0" w:color="000000"/>
            </w:tcBorders>
          </w:tcPr>
          <w:p w14:paraId="095ECD9B" w14:textId="77777777" w:rsidR="005F53F9" w:rsidRPr="00D07ABD" w:rsidRDefault="005F53F9" w:rsidP="00B23D61">
            <w:pPr>
              <w:pStyle w:val="BodyText2"/>
              <w:spacing w:after="120"/>
              <w:jc w:val="center"/>
              <w:rPr>
                <w:b/>
                <w:iCs/>
              </w:rPr>
            </w:pPr>
            <w:r w:rsidRPr="00D07ABD">
              <w:rPr>
                <w:b/>
                <w:iCs/>
              </w:rPr>
              <w:t>£</w:t>
            </w:r>
            <w:r>
              <w:rPr>
                <w:b/>
                <w:iCs/>
              </w:rPr>
              <w:t>20</w:t>
            </w:r>
            <w:r w:rsidRPr="00D07ABD">
              <w:rPr>
                <w:b/>
                <w:iCs/>
              </w:rPr>
              <w:t>m</w:t>
            </w:r>
          </w:p>
        </w:tc>
        <w:tc>
          <w:tcPr>
            <w:tcW w:w="1134" w:type="dxa"/>
            <w:tcBorders>
              <w:top w:val="single" w:sz="6" w:space="0" w:color="000000"/>
              <w:left w:val="single" w:sz="6" w:space="0" w:color="000000"/>
              <w:bottom w:val="single" w:sz="6" w:space="0" w:color="000000"/>
              <w:right w:val="single" w:sz="4" w:space="0" w:color="auto"/>
            </w:tcBorders>
          </w:tcPr>
          <w:p w14:paraId="15025E9F" w14:textId="77777777" w:rsidR="005F53F9" w:rsidRPr="00D07ABD" w:rsidRDefault="005F53F9" w:rsidP="00B23D61">
            <w:pPr>
              <w:pStyle w:val="BodyText2"/>
              <w:spacing w:after="120"/>
              <w:jc w:val="center"/>
              <w:rPr>
                <w:b/>
                <w:iCs/>
              </w:rPr>
            </w:pPr>
            <w:r w:rsidRPr="00D07ABD">
              <w:rPr>
                <w:b/>
                <w:iCs/>
              </w:rPr>
              <w:t xml:space="preserve">1 </w:t>
            </w:r>
            <w:proofErr w:type="spellStart"/>
            <w:r w:rsidRPr="00D07ABD">
              <w:rPr>
                <w:b/>
                <w:iCs/>
              </w:rPr>
              <w:t>yr</w:t>
            </w:r>
            <w:proofErr w:type="spellEnd"/>
          </w:p>
        </w:tc>
      </w:tr>
      <w:tr w:rsidR="005F53F9" w:rsidRPr="00D07ABD" w14:paraId="5729910A" w14:textId="77777777" w:rsidTr="00B23D61">
        <w:trPr>
          <w:trHeight w:val="330"/>
          <w:tblCellSpacing w:w="0" w:type="dxa"/>
        </w:trPr>
        <w:tc>
          <w:tcPr>
            <w:tcW w:w="3149" w:type="dxa"/>
            <w:tcBorders>
              <w:top w:val="single" w:sz="6" w:space="0" w:color="000000"/>
              <w:left w:val="single" w:sz="4" w:space="0" w:color="auto"/>
              <w:bottom w:val="single" w:sz="6" w:space="0" w:color="000000"/>
              <w:right w:val="single" w:sz="6" w:space="0" w:color="000000"/>
            </w:tcBorders>
          </w:tcPr>
          <w:p w14:paraId="43958F9C" w14:textId="77777777" w:rsidR="005F53F9" w:rsidRPr="00D07ABD" w:rsidRDefault="005F53F9" w:rsidP="00B23D61">
            <w:pPr>
              <w:pStyle w:val="BodyText2"/>
              <w:spacing w:after="120"/>
              <w:rPr>
                <w:b/>
                <w:iCs/>
              </w:rPr>
            </w:pPr>
            <w:r w:rsidRPr="00D07ABD">
              <w:rPr>
                <w:b/>
                <w:iCs/>
              </w:rPr>
              <w:t xml:space="preserve">Banks </w:t>
            </w:r>
            <w:r>
              <w:rPr>
                <w:b/>
                <w:iCs/>
              </w:rPr>
              <w:t>&amp; Building Societies</w:t>
            </w:r>
          </w:p>
        </w:tc>
        <w:tc>
          <w:tcPr>
            <w:tcW w:w="1825" w:type="dxa"/>
            <w:tcBorders>
              <w:top w:val="single" w:sz="6" w:space="0" w:color="000000"/>
              <w:left w:val="single" w:sz="4" w:space="0" w:color="auto"/>
              <w:bottom w:val="single" w:sz="6" w:space="0" w:color="000000"/>
              <w:right w:val="single" w:sz="4" w:space="0" w:color="auto"/>
            </w:tcBorders>
          </w:tcPr>
          <w:p w14:paraId="5BB31F6C" w14:textId="77777777" w:rsidR="005F53F9" w:rsidRPr="00D07ABD" w:rsidRDefault="005F53F9" w:rsidP="00B23D61">
            <w:pPr>
              <w:pStyle w:val="BodyText2"/>
              <w:spacing w:after="120"/>
              <w:jc w:val="center"/>
              <w:rPr>
                <w:b/>
                <w:iCs/>
              </w:rPr>
            </w:pPr>
            <w:r>
              <w:rPr>
                <w:b/>
                <w:iCs/>
              </w:rPr>
              <w:t>R</w:t>
            </w:r>
            <w:r w:rsidRPr="00D07ABD">
              <w:rPr>
                <w:b/>
                <w:iCs/>
              </w:rPr>
              <w:t>ed</w:t>
            </w:r>
          </w:p>
        </w:tc>
        <w:tc>
          <w:tcPr>
            <w:tcW w:w="1524" w:type="dxa"/>
            <w:tcBorders>
              <w:top w:val="single" w:sz="6" w:space="0" w:color="000000"/>
              <w:left w:val="single" w:sz="6" w:space="0" w:color="000000"/>
              <w:bottom w:val="single" w:sz="6" w:space="0" w:color="000000"/>
              <w:right w:val="single" w:sz="6" w:space="0" w:color="000000"/>
            </w:tcBorders>
          </w:tcPr>
          <w:p w14:paraId="01C96494" w14:textId="77777777" w:rsidR="005F53F9" w:rsidRPr="00D07ABD" w:rsidRDefault="005F53F9" w:rsidP="00B23D61">
            <w:pPr>
              <w:pStyle w:val="BodyText2"/>
              <w:spacing w:after="120"/>
              <w:jc w:val="center"/>
              <w:rPr>
                <w:b/>
                <w:iCs/>
              </w:rPr>
            </w:pPr>
            <w:r w:rsidRPr="00D07ABD">
              <w:rPr>
                <w:b/>
                <w:iCs/>
              </w:rPr>
              <w:t>£</w:t>
            </w:r>
            <w:r>
              <w:rPr>
                <w:b/>
                <w:iCs/>
              </w:rPr>
              <w:t>20</w:t>
            </w:r>
            <w:r w:rsidRPr="00D07ABD">
              <w:rPr>
                <w:b/>
                <w:iCs/>
              </w:rPr>
              <w:t>m</w:t>
            </w:r>
          </w:p>
        </w:tc>
        <w:tc>
          <w:tcPr>
            <w:tcW w:w="1134" w:type="dxa"/>
            <w:tcBorders>
              <w:top w:val="single" w:sz="6" w:space="0" w:color="000000"/>
              <w:left w:val="single" w:sz="6" w:space="0" w:color="000000"/>
              <w:bottom w:val="single" w:sz="6" w:space="0" w:color="000000"/>
              <w:right w:val="single" w:sz="4" w:space="0" w:color="auto"/>
            </w:tcBorders>
          </w:tcPr>
          <w:p w14:paraId="26243C49" w14:textId="77777777" w:rsidR="005F53F9" w:rsidRPr="00D07ABD" w:rsidRDefault="005F53F9" w:rsidP="00B23D61">
            <w:pPr>
              <w:pStyle w:val="BodyText2"/>
              <w:spacing w:after="120"/>
              <w:jc w:val="center"/>
              <w:rPr>
                <w:b/>
                <w:iCs/>
              </w:rPr>
            </w:pPr>
            <w:r w:rsidRPr="00D07ABD">
              <w:rPr>
                <w:b/>
                <w:iCs/>
              </w:rPr>
              <w:t xml:space="preserve">6 </w:t>
            </w:r>
            <w:proofErr w:type="spellStart"/>
            <w:r w:rsidRPr="00D07ABD">
              <w:rPr>
                <w:b/>
                <w:iCs/>
              </w:rPr>
              <w:t>mths</w:t>
            </w:r>
            <w:proofErr w:type="spellEnd"/>
          </w:p>
        </w:tc>
      </w:tr>
      <w:tr w:rsidR="005F53F9" w:rsidRPr="00D07ABD" w14:paraId="749BD9FD" w14:textId="77777777" w:rsidTr="00B23D61">
        <w:trPr>
          <w:trHeight w:val="330"/>
          <w:tblCellSpacing w:w="0" w:type="dxa"/>
        </w:trPr>
        <w:tc>
          <w:tcPr>
            <w:tcW w:w="3149" w:type="dxa"/>
            <w:tcBorders>
              <w:top w:val="single" w:sz="6" w:space="0" w:color="000000"/>
              <w:left w:val="single" w:sz="4" w:space="0" w:color="auto"/>
              <w:bottom w:val="single" w:sz="6" w:space="0" w:color="000000"/>
              <w:right w:val="single" w:sz="6" w:space="0" w:color="000000"/>
            </w:tcBorders>
          </w:tcPr>
          <w:p w14:paraId="70AE1947" w14:textId="77777777" w:rsidR="005F53F9" w:rsidRPr="00D07ABD" w:rsidRDefault="005F53F9" w:rsidP="00B23D61">
            <w:pPr>
              <w:pStyle w:val="BodyText2"/>
              <w:spacing w:after="120"/>
              <w:rPr>
                <w:b/>
                <w:iCs/>
              </w:rPr>
            </w:pPr>
            <w:r w:rsidRPr="00D07ABD">
              <w:rPr>
                <w:b/>
                <w:iCs/>
              </w:rPr>
              <w:t xml:space="preserve">Banks </w:t>
            </w:r>
            <w:r>
              <w:rPr>
                <w:b/>
                <w:iCs/>
              </w:rPr>
              <w:t>&amp; Building Societies</w:t>
            </w:r>
          </w:p>
        </w:tc>
        <w:tc>
          <w:tcPr>
            <w:tcW w:w="1825" w:type="dxa"/>
            <w:tcBorders>
              <w:top w:val="single" w:sz="6" w:space="0" w:color="000000"/>
              <w:left w:val="single" w:sz="4" w:space="0" w:color="auto"/>
              <w:bottom w:val="single" w:sz="6" w:space="0" w:color="000000"/>
              <w:right w:val="single" w:sz="4" w:space="0" w:color="auto"/>
            </w:tcBorders>
          </w:tcPr>
          <w:p w14:paraId="620CA12B" w14:textId="77777777" w:rsidR="005F53F9" w:rsidRPr="00D07ABD" w:rsidRDefault="005F53F9" w:rsidP="00B23D61">
            <w:pPr>
              <w:pStyle w:val="BodyText2"/>
              <w:spacing w:after="120"/>
              <w:jc w:val="center"/>
              <w:rPr>
                <w:b/>
                <w:iCs/>
              </w:rPr>
            </w:pPr>
            <w:r>
              <w:rPr>
                <w:b/>
                <w:iCs/>
              </w:rPr>
              <w:t>G</w:t>
            </w:r>
            <w:r w:rsidRPr="00D07ABD">
              <w:rPr>
                <w:b/>
                <w:iCs/>
              </w:rPr>
              <w:t>reen</w:t>
            </w:r>
          </w:p>
        </w:tc>
        <w:tc>
          <w:tcPr>
            <w:tcW w:w="1524" w:type="dxa"/>
            <w:tcBorders>
              <w:top w:val="single" w:sz="6" w:space="0" w:color="000000"/>
              <w:left w:val="single" w:sz="6" w:space="0" w:color="000000"/>
              <w:bottom w:val="single" w:sz="6" w:space="0" w:color="000000"/>
              <w:right w:val="single" w:sz="6" w:space="0" w:color="000000"/>
            </w:tcBorders>
          </w:tcPr>
          <w:p w14:paraId="198FC983" w14:textId="77777777" w:rsidR="005F53F9" w:rsidRPr="00D07ABD" w:rsidRDefault="005F53F9" w:rsidP="00B23D61">
            <w:pPr>
              <w:pStyle w:val="BodyText2"/>
              <w:spacing w:after="120"/>
              <w:jc w:val="center"/>
              <w:rPr>
                <w:b/>
                <w:iCs/>
              </w:rPr>
            </w:pPr>
            <w:r w:rsidRPr="00D07ABD">
              <w:rPr>
                <w:b/>
                <w:iCs/>
              </w:rPr>
              <w:t>£</w:t>
            </w:r>
            <w:r>
              <w:rPr>
                <w:b/>
                <w:iCs/>
              </w:rPr>
              <w:t>20</w:t>
            </w:r>
            <w:r w:rsidRPr="00D07ABD">
              <w:rPr>
                <w:b/>
                <w:iCs/>
              </w:rPr>
              <w:t>m</w:t>
            </w:r>
          </w:p>
        </w:tc>
        <w:tc>
          <w:tcPr>
            <w:tcW w:w="1134" w:type="dxa"/>
            <w:tcBorders>
              <w:top w:val="single" w:sz="6" w:space="0" w:color="000000"/>
              <w:left w:val="single" w:sz="6" w:space="0" w:color="000000"/>
              <w:bottom w:val="single" w:sz="6" w:space="0" w:color="000000"/>
              <w:right w:val="single" w:sz="4" w:space="0" w:color="auto"/>
            </w:tcBorders>
          </w:tcPr>
          <w:p w14:paraId="3C3266BB" w14:textId="77777777" w:rsidR="005F53F9" w:rsidRPr="00D07ABD" w:rsidRDefault="005F53F9" w:rsidP="00B23D61">
            <w:pPr>
              <w:pStyle w:val="BodyText2"/>
              <w:spacing w:after="120"/>
              <w:jc w:val="center"/>
              <w:rPr>
                <w:b/>
                <w:iCs/>
              </w:rPr>
            </w:pPr>
            <w:r w:rsidRPr="00D07ABD">
              <w:rPr>
                <w:b/>
                <w:iCs/>
              </w:rPr>
              <w:t>100 days</w:t>
            </w:r>
          </w:p>
        </w:tc>
      </w:tr>
      <w:tr w:rsidR="005F53F9" w:rsidRPr="00D07ABD" w14:paraId="140C1E6B" w14:textId="77777777" w:rsidTr="00B23D61">
        <w:trPr>
          <w:trHeight w:val="330"/>
          <w:tblCellSpacing w:w="0" w:type="dxa"/>
        </w:trPr>
        <w:tc>
          <w:tcPr>
            <w:tcW w:w="3149" w:type="dxa"/>
            <w:tcBorders>
              <w:top w:val="single" w:sz="6" w:space="0" w:color="000000"/>
              <w:left w:val="single" w:sz="4" w:space="0" w:color="auto"/>
              <w:bottom w:val="single" w:sz="6" w:space="0" w:color="000000"/>
              <w:right w:val="single" w:sz="6" w:space="0" w:color="000000"/>
            </w:tcBorders>
          </w:tcPr>
          <w:p w14:paraId="1A06B8BF" w14:textId="77777777" w:rsidR="005F53F9" w:rsidRPr="00D07ABD" w:rsidRDefault="005F53F9" w:rsidP="00B23D61">
            <w:pPr>
              <w:pStyle w:val="BodyText2"/>
              <w:spacing w:after="120"/>
              <w:rPr>
                <w:b/>
                <w:iCs/>
              </w:rPr>
            </w:pPr>
            <w:r w:rsidRPr="00D07ABD">
              <w:rPr>
                <w:b/>
                <w:iCs/>
              </w:rPr>
              <w:t xml:space="preserve">Banks </w:t>
            </w:r>
            <w:r>
              <w:rPr>
                <w:b/>
                <w:iCs/>
              </w:rPr>
              <w:t>&amp; Building Societies</w:t>
            </w:r>
          </w:p>
        </w:tc>
        <w:tc>
          <w:tcPr>
            <w:tcW w:w="1825" w:type="dxa"/>
            <w:tcBorders>
              <w:top w:val="single" w:sz="4" w:space="0" w:color="auto"/>
              <w:left w:val="single" w:sz="4" w:space="0" w:color="auto"/>
              <w:bottom w:val="single" w:sz="6" w:space="0" w:color="000000"/>
              <w:right w:val="single" w:sz="4" w:space="0" w:color="auto"/>
            </w:tcBorders>
          </w:tcPr>
          <w:p w14:paraId="0EEA385A" w14:textId="77777777" w:rsidR="005F53F9" w:rsidRPr="00D07ABD" w:rsidRDefault="005F53F9" w:rsidP="00B23D61">
            <w:pPr>
              <w:pStyle w:val="BodyText2"/>
              <w:spacing w:after="120"/>
              <w:jc w:val="center"/>
              <w:rPr>
                <w:b/>
                <w:iCs/>
              </w:rPr>
            </w:pPr>
            <w:r w:rsidRPr="00D07ABD">
              <w:rPr>
                <w:b/>
                <w:iCs/>
              </w:rPr>
              <w:t xml:space="preserve">No </w:t>
            </w:r>
            <w:r>
              <w:rPr>
                <w:b/>
                <w:iCs/>
              </w:rPr>
              <w:t>C</w:t>
            </w:r>
            <w:r w:rsidRPr="00D07ABD">
              <w:rPr>
                <w:b/>
                <w:iCs/>
              </w:rPr>
              <w:t>olour</w:t>
            </w:r>
          </w:p>
        </w:tc>
        <w:tc>
          <w:tcPr>
            <w:tcW w:w="1524" w:type="dxa"/>
            <w:tcBorders>
              <w:top w:val="single" w:sz="6" w:space="0" w:color="000000"/>
              <w:left w:val="single" w:sz="6" w:space="0" w:color="000000"/>
              <w:bottom w:val="single" w:sz="6" w:space="0" w:color="000000"/>
              <w:right w:val="single" w:sz="6" w:space="0" w:color="000000"/>
            </w:tcBorders>
          </w:tcPr>
          <w:p w14:paraId="4A809AAE" w14:textId="77777777" w:rsidR="005F53F9" w:rsidRPr="00D07ABD" w:rsidRDefault="005F53F9" w:rsidP="00B23D61">
            <w:pPr>
              <w:pStyle w:val="BodyText2"/>
              <w:spacing w:after="120"/>
              <w:jc w:val="center"/>
              <w:rPr>
                <w:b/>
                <w:iCs/>
              </w:rPr>
            </w:pPr>
            <w:r>
              <w:rPr>
                <w:b/>
                <w:iCs/>
              </w:rPr>
              <w:t>Not to be used</w:t>
            </w:r>
          </w:p>
        </w:tc>
        <w:tc>
          <w:tcPr>
            <w:tcW w:w="1134" w:type="dxa"/>
            <w:tcBorders>
              <w:top w:val="single" w:sz="6" w:space="0" w:color="000000"/>
              <w:left w:val="single" w:sz="6" w:space="0" w:color="000000"/>
              <w:bottom w:val="single" w:sz="6" w:space="0" w:color="000000"/>
              <w:right w:val="single" w:sz="4" w:space="0" w:color="auto"/>
            </w:tcBorders>
          </w:tcPr>
          <w:p w14:paraId="42BAD1B6" w14:textId="77777777" w:rsidR="005F53F9" w:rsidRPr="00D07ABD" w:rsidRDefault="005F53F9" w:rsidP="00B23D61">
            <w:pPr>
              <w:pStyle w:val="BodyText2"/>
              <w:spacing w:after="120"/>
              <w:jc w:val="center"/>
              <w:rPr>
                <w:b/>
                <w:iCs/>
              </w:rPr>
            </w:pPr>
            <w:r>
              <w:rPr>
                <w:b/>
                <w:iCs/>
              </w:rPr>
              <w:t>Not to be used</w:t>
            </w:r>
          </w:p>
        </w:tc>
      </w:tr>
      <w:tr w:rsidR="005F53F9" w:rsidRPr="00D07ABD" w14:paraId="2EA0C506" w14:textId="77777777" w:rsidTr="00B23D61">
        <w:trPr>
          <w:trHeight w:val="330"/>
          <w:tblCellSpacing w:w="0" w:type="dxa"/>
        </w:trPr>
        <w:tc>
          <w:tcPr>
            <w:tcW w:w="3149" w:type="dxa"/>
            <w:tcBorders>
              <w:top w:val="single" w:sz="6" w:space="0" w:color="000000"/>
              <w:left w:val="single" w:sz="4" w:space="0" w:color="auto"/>
              <w:bottom w:val="single" w:sz="6" w:space="0" w:color="000000"/>
              <w:right w:val="single" w:sz="6" w:space="0" w:color="000000"/>
            </w:tcBorders>
          </w:tcPr>
          <w:p w14:paraId="2FF7A68B" w14:textId="77777777" w:rsidR="005F53F9" w:rsidRPr="00D07ABD" w:rsidRDefault="005F53F9" w:rsidP="00B23D61">
            <w:pPr>
              <w:pStyle w:val="BodyText2"/>
              <w:spacing w:after="120"/>
              <w:rPr>
                <w:b/>
                <w:iCs/>
              </w:rPr>
            </w:pPr>
            <w:r>
              <w:rPr>
                <w:b/>
                <w:iCs/>
              </w:rPr>
              <w:t>Authority’s Banker (RBS)</w:t>
            </w:r>
          </w:p>
        </w:tc>
        <w:tc>
          <w:tcPr>
            <w:tcW w:w="1825" w:type="dxa"/>
            <w:tcBorders>
              <w:top w:val="single" w:sz="6" w:space="0" w:color="000000"/>
              <w:left w:val="single" w:sz="4" w:space="0" w:color="auto"/>
              <w:bottom w:val="single" w:sz="4" w:space="0" w:color="auto"/>
              <w:right w:val="single" w:sz="4" w:space="0" w:color="auto"/>
            </w:tcBorders>
          </w:tcPr>
          <w:p w14:paraId="4ABCFAC3" w14:textId="77777777" w:rsidR="005F53F9" w:rsidRPr="00D07ABD" w:rsidRDefault="005F53F9" w:rsidP="00B23D61">
            <w:pPr>
              <w:pStyle w:val="BodyText2"/>
              <w:spacing w:after="120"/>
              <w:jc w:val="center"/>
              <w:rPr>
                <w:b/>
                <w:iCs/>
              </w:rPr>
            </w:pPr>
          </w:p>
        </w:tc>
        <w:tc>
          <w:tcPr>
            <w:tcW w:w="1524" w:type="dxa"/>
            <w:tcBorders>
              <w:top w:val="single" w:sz="6" w:space="0" w:color="000000"/>
              <w:left w:val="single" w:sz="6" w:space="0" w:color="000000"/>
              <w:bottom w:val="single" w:sz="6" w:space="0" w:color="000000"/>
              <w:right w:val="single" w:sz="6" w:space="0" w:color="000000"/>
            </w:tcBorders>
          </w:tcPr>
          <w:p w14:paraId="4EECE3A1" w14:textId="6A00FB5F" w:rsidR="005F53F9" w:rsidRPr="00D07ABD" w:rsidRDefault="005F53F9" w:rsidP="00B23D61">
            <w:pPr>
              <w:pStyle w:val="BodyText2"/>
              <w:spacing w:after="120"/>
              <w:jc w:val="center"/>
              <w:rPr>
                <w:b/>
                <w:iCs/>
              </w:rPr>
            </w:pPr>
            <w:r w:rsidRPr="00D07ABD">
              <w:rPr>
                <w:b/>
                <w:iCs/>
              </w:rPr>
              <w:t>£</w:t>
            </w:r>
            <w:r>
              <w:rPr>
                <w:b/>
                <w:iCs/>
              </w:rPr>
              <w:t>50</w:t>
            </w:r>
            <w:r w:rsidRPr="00D07ABD">
              <w:rPr>
                <w:b/>
                <w:iCs/>
              </w:rPr>
              <w:t>m</w:t>
            </w:r>
          </w:p>
        </w:tc>
        <w:tc>
          <w:tcPr>
            <w:tcW w:w="1134" w:type="dxa"/>
            <w:tcBorders>
              <w:top w:val="single" w:sz="6" w:space="0" w:color="000000"/>
              <w:left w:val="single" w:sz="6" w:space="0" w:color="000000"/>
              <w:bottom w:val="single" w:sz="6" w:space="0" w:color="000000"/>
              <w:right w:val="single" w:sz="4" w:space="0" w:color="auto"/>
            </w:tcBorders>
          </w:tcPr>
          <w:p w14:paraId="70E57AB1" w14:textId="39318787" w:rsidR="005F53F9" w:rsidRPr="00D07ABD" w:rsidRDefault="00D14F60" w:rsidP="00B23D61">
            <w:pPr>
              <w:pStyle w:val="BodyText2"/>
              <w:spacing w:after="120"/>
              <w:jc w:val="center"/>
              <w:rPr>
                <w:b/>
                <w:iCs/>
              </w:rPr>
            </w:pPr>
            <w:r>
              <w:rPr>
                <w:b/>
                <w:iCs/>
              </w:rPr>
              <w:t>Instant Access</w:t>
            </w:r>
          </w:p>
        </w:tc>
      </w:tr>
      <w:tr w:rsidR="005F53F9" w:rsidRPr="00D07ABD" w14:paraId="0EB60421" w14:textId="77777777" w:rsidTr="00B23D61">
        <w:trPr>
          <w:trHeight w:val="330"/>
          <w:tblCellSpacing w:w="0" w:type="dxa"/>
        </w:trPr>
        <w:tc>
          <w:tcPr>
            <w:tcW w:w="3149" w:type="dxa"/>
            <w:tcBorders>
              <w:top w:val="single" w:sz="6" w:space="0" w:color="000000"/>
              <w:left w:val="single" w:sz="4" w:space="0" w:color="auto"/>
              <w:bottom w:val="single" w:sz="12" w:space="0" w:color="000000"/>
              <w:right w:val="single" w:sz="6" w:space="0" w:color="000000"/>
            </w:tcBorders>
          </w:tcPr>
          <w:p w14:paraId="68B3403C" w14:textId="77777777" w:rsidR="005F53F9" w:rsidRPr="00D07ABD" w:rsidRDefault="005F53F9" w:rsidP="00B23D61">
            <w:pPr>
              <w:pStyle w:val="BodyText2"/>
              <w:spacing w:after="120"/>
              <w:rPr>
                <w:b/>
                <w:iCs/>
              </w:rPr>
            </w:pPr>
            <w:r w:rsidRPr="00D07ABD">
              <w:rPr>
                <w:b/>
                <w:iCs/>
              </w:rPr>
              <w:t>DMADF</w:t>
            </w:r>
          </w:p>
        </w:tc>
        <w:tc>
          <w:tcPr>
            <w:tcW w:w="1825" w:type="dxa"/>
            <w:tcBorders>
              <w:top w:val="single" w:sz="6" w:space="0" w:color="000000"/>
              <w:left w:val="single" w:sz="4" w:space="0" w:color="auto"/>
              <w:bottom w:val="single" w:sz="12" w:space="0" w:color="000000"/>
              <w:right w:val="single" w:sz="4" w:space="0" w:color="auto"/>
            </w:tcBorders>
          </w:tcPr>
          <w:p w14:paraId="3FB41B75" w14:textId="77777777" w:rsidR="005F53F9" w:rsidRPr="00D07ABD" w:rsidRDefault="005F53F9" w:rsidP="00B23D61">
            <w:pPr>
              <w:pStyle w:val="BodyText2"/>
              <w:spacing w:after="120"/>
              <w:jc w:val="center"/>
              <w:rPr>
                <w:b/>
                <w:iCs/>
              </w:rPr>
            </w:pPr>
            <w:r w:rsidRPr="00D07ABD">
              <w:rPr>
                <w:b/>
                <w:iCs/>
              </w:rPr>
              <w:t xml:space="preserve">UK sovereign rating </w:t>
            </w:r>
          </w:p>
        </w:tc>
        <w:tc>
          <w:tcPr>
            <w:tcW w:w="1524" w:type="dxa"/>
            <w:tcBorders>
              <w:top w:val="single" w:sz="6" w:space="0" w:color="000000"/>
              <w:left w:val="single" w:sz="6" w:space="0" w:color="000000"/>
              <w:bottom w:val="single" w:sz="12" w:space="0" w:color="000000"/>
              <w:right w:val="single" w:sz="6" w:space="0" w:color="000000"/>
            </w:tcBorders>
          </w:tcPr>
          <w:p w14:paraId="7B8E334A" w14:textId="77777777" w:rsidR="005F53F9" w:rsidRPr="00D07ABD" w:rsidRDefault="005F53F9" w:rsidP="00B23D61">
            <w:pPr>
              <w:pStyle w:val="BodyText2"/>
              <w:spacing w:after="120"/>
              <w:jc w:val="center"/>
              <w:rPr>
                <w:b/>
                <w:iCs/>
              </w:rPr>
            </w:pPr>
            <w:r>
              <w:rPr>
                <w:b/>
                <w:iCs/>
              </w:rPr>
              <w:t>unlimited</w:t>
            </w:r>
          </w:p>
        </w:tc>
        <w:tc>
          <w:tcPr>
            <w:tcW w:w="1134" w:type="dxa"/>
            <w:tcBorders>
              <w:top w:val="single" w:sz="6" w:space="0" w:color="000000"/>
              <w:left w:val="single" w:sz="6" w:space="0" w:color="000000"/>
              <w:bottom w:val="single" w:sz="12" w:space="0" w:color="000000"/>
              <w:right w:val="single" w:sz="4" w:space="0" w:color="auto"/>
            </w:tcBorders>
          </w:tcPr>
          <w:p w14:paraId="19528B48" w14:textId="77777777" w:rsidR="005F53F9" w:rsidRPr="00D07ABD" w:rsidRDefault="005F53F9" w:rsidP="00B23D61">
            <w:pPr>
              <w:pStyle w:val="BodyText2"/>
              <w:spacing w:after="120"/>
              <w:jc w:val="center"/>
              <w:rPr>
                <w:b/>
                <w:iCs/>
              </w:rPr>
            </w:pPr>
            <w:r w:rsidRPr="00D07ABD">
              <w:rPr>
                <w:b/>
                <w:iCs/>
              </w:rPr>
              <w:t>6 months</w:t>
            </w:r>
          </w:p>
        </w:tc>
      </w:tr>
      <w:tr w:rsidR="005F53F9" w:rsidRPr="00D07ABD" w14:paraId="2FB53B63" w14:textId="77777777" w:rsidTr="00B23D61">
        <w:trPr>
          <w:trHeight w:val="330"/>
          <w:tblCellSpacing w:w="0" w:type="dxa"/>
        </w:trPr>
        <w:tc>
          <w:tcPr>
            <w:tcW w:w="3149" w:type="dxa"/>
            <w:tcBorders>
              <w:top w:val="single" w:sz="6" w:space="0" w:color="000000"/>
              <w:left w:val="single" w:sz="4" w:space="0" w:color="auto"/>
              <w:bottom w:val="single" w:sz="12" w:space="0" w:color="000000"/>
              <w:right w:val="single" w:sz="6" w:space="0" w:color="000000"/>
            </w:tcBorders>
          </w:tcPr>
          <w:p w14:paraId="77C91796" w14:textId="77777777" w:rsidR="005F53F9" w:rsidRPr="00D07ABD" w:rsidRDefault="005F53F9" w:rsidP="00B23D61">
            <w:pPr>
              <w:pStyle w:val="BodyText2"/>
              <w:spacing w:after="120"/>
              <w:rPr>
                <w:b/>
                <w:iCs/>
              </w:rPr>
            </w:pPr>
            <w:r w:rsidRPr="00D07ABD">
              <w:rPr>
                <w:b/>
                <w:iCs/>
              </w:rPr>
              <w:t>Local authorities</w:t>
            </w:r>
          </w:p>
        </w:tc>
        <w:tc>
          <w:tcPr>
            <w:tcW w:w="1825" w:type="dxa"/>
            <w:tcBorders>
              <w:top w:val="single" w:sz="6" w:space="0" w:color="000000"/>
              <w:left w:val="single" w:sz="4" w:space="0" w:color="auto"/>
              <w:bottom w:val="single" w:sz="12" w:space="0" w:color="000000"/>
              <w:right w:val="single" w:sz="4" w:space="0" w:color="auto"/>
            </w:tcBorders>
          </w:tcPr>
          <w:p w14:paraId="789ADF22" w14:textId="77777777" w:rsidR="005F53F9" w:rsidRPr="00D07ABD" w:rsidRDefault="005F53F9" w:rsidP="00B23D61">
            <w:pPr>
              <w:pStyle w:val="BodyText2"/>
              <w:spacing w:after="120"/>
              <w:jc w:val="center"/>
              <w:rPr>
                <w:b/>
                <w:iCs/>
              </w:rPr>
            </w:pPr>
            <w:r>
              <w:rPr>
                <w:b/>
                <w:iCs/>
              </w:rPr>
              <w:t>Yellow</w:t>
            </w:r>
          </w:p>
        </w:tc>
        <w:tc>
          <w:tcPr>
            <w:tcW w:w="1524" w:type="dxa"/>
            <w:tcBorders>
              <w:top w:val="single" w:sz="6" w:space="0" w:color="000000"/>
              <w:left w:val="single" w:sz="6" w:space="0" w:color="000000"/>
              <w:bottom w:val="single" w:sz="12" w:space="0" w:color="000000"/>
              <w:right w:val="single" w:sz="6" w:space="0" w:color="000000"/>
            </w:tcBorders>
          </w:tcPr>
          <w:p w14:paraId="686F0F1D" w14:textId="77777777" w:rsidR="005F53F9" w:rsidRPr="00D07ABD" w:rsidRDefault="005F53F9" w:rsidP="00B23D61">
            <w:pPr>
              <w:pStyle w:val="BodyText2"/>
              <w:spacing w:after="120"/>
              <w:rPr>
                <w:b/>
                <w:iCs/>
              </w:rPr>
            </w:pPr>
            <w:r>
              <w:rPr>
                <w:b/>
                <w:iCs/>
              </w:rPr>
              <w:t xml:space="preserve">         £20</w:t>
            </w:r>
            <w:r w:rsidRPr="00D07ABD">
              <w:rPr>
                <w:b/>
                <w:iCs/>
              </w:rPr>
              <w:t>m</w:t>
            </w:r>
          </w:p>
        </w:tc>
        <w:tc>
          <w:tcPr>
            <w:tcW w:w="1134" w:type="dxa"/>
            <w:tcBorders>
              <w:top w:val="single" w:sz="6" w:space="0" w:color="000000"/>
              <w:left w:val="single" w:sz="6" w:space="0" w:color="000000"/>
              <w:bottom w:val="single" w:sz="12" w:space="0" w:color="000000"/>
              <w:right w:val="single" w:sz="4" w:space="0" w:color="auto"/>
            </w:tcBorders>
          </w:tcPr>
          <w:p w14:paraId="07A3BDCE" w14:textId="77777777" w:rsidR="005F53F9" w:rsidRPr="00D07ABD" w:rsidRDefault="005F53F9" w:rsidP="00B23D61">
            <w:pPr>
              <w:pStyle w:val="BodyText2"/>
              <w:spacing w:after="120"/>
              <w:jc w:val="center"/>
              <w:rPr>
                <w:b/>
                <w:iCs/>
              </w:rPr>
            </w:pPr>
            <w:r>
              <w:rPr>
                <w:b/>
                <w:iCs/>
              </w:rPr>
              <w:t>5</w:t>
            </w:r>
            <w:r w:rsidRPr="00D07ABD">
              <w:rPr>
                <w:b/>
                <w:iCs/>
              </w:rPr>
              <w:t>yrs</w:t>
            </w:r>
          </w:p>
        </w:tc>
      </w:tr>
      <w:tr w:rsidR="005F53F9" w:rsidRPr="00D07ABD" w14:paraId="205B9EB7" w14:textId="77777777" w:rsidTr="00B23D61">
        <w:trPr>
          <w:trHeight w:val="330"/>
          <w:tblCellSpacing w:w="0" w:type="dxa"/>
        </w:trPr>
        <w:tc>
          <w:tcPr>
            <w:tcW w:w="3149" w:type="dxa"/>
            <w:tcBorders>
              <w:top w:val="single" w:sz="6" w:space="0" w:color="000000"/>
              <w:left w:val="single" w:sz="4" w:space="0" w:color="auto"/>
              <w:bottom w:val="single" w:sz="6" w:space="0" w:color="000000"/>
              <w:right w:val="single" w:sz="6" w:space="0" w:color="000000"/>
            </w:tcBorders>
            <w:shd w:val="clear" w:color="auto" w:fill="BFBFBF" w:themeFill="background1" w:themeFillShade="BF"/>
          </w:tcPr>
          <w:p w14:paraId="56B41D9B" w14:textId="77777777" w:rsidR="005F53F9" w:rsidRPr="00D07ABD" w:rsidRDefault="005F53F9" w:rsidP="00B23D61">
            <w:pPr>
              <w:pStyle w:val="BodyText2"/>
              <w:spacing w:after="120"/>
              <w:rPr>
                <w:b/>
                <w:iCs/>
              </w:rPr>
            </w:pPr>
            <w:r w:rsidRPr="00D07ABD">
              <w:rPr>
                <w:b/>
                <w:iCs/>
              </w:rPr>
              <w:t> </w:t>
            </w:r>
          </w:p>
        </w:tc>
        <w:tc>
          <w:tcPr>
            <w:tcW w:w="18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6E09893" w14:textId="77777777" w:rsidR="005F53F9" w:rsidRPr="00D07ABD" w:rsidRDefault="005F53F9" w:rsidP="00B23D61">
            <w:pPr>
              <w:pStyle w:val="BodyText2"/>
              <w:spacing w:after="120"/>
              <w:jc w:val="center"/>
              <w:rPr>
                <w:b/>
                <w:iCs/>
              </w:rPr>
            </w:pPr>
            <w:r w:rsidRPr="00D07ABD">
              <w:rPr>
                <w:b/>
                <w:iCs/>
              </w:rPr>
              <w:t>Fund rating</w:t>
            </w:r>
          </w:p>
        </w:tc>
        <w:tc>
          <w:tcPr>
            <w:tcW w:w="15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14A345F" w14:textId="77777777" w:rsidR="005F53F9" w:rsidRPr="00D07ABD" w:rsidRDefault="005F53F9" w:rsidP="00B23D61">
            <w:pPr>
              <w:pStyle w:val="BodyText2"/>
              <w:spacing w:after="120"/>
              <w:jc w:val="center"/>
              <w:rPr>
                <w:b/>
                <w:iCs/>
              </w:rPr>
            </w:pPr>
          </w:p>
        </w:tc>
        <w:tc>
          <w:tcPr>
            <w:tcW w:w="1134" w:type="dxa"/>
            <w:tcBorders>
              <w:top w:val="single" w:sz="4" w:space="0" w:color="auto"/>
              <w:left w:val="single" w:sz="4" w:space="0" w:color="auto"/>
              <w:bottom w:val="single" w:sz="6" w:space="0" w:color="000000"/>
              <w:right w:val="single" w:sz="4" w:space="0" w:color="auto"/>
            </w:tcBorders>
            <w:shd w:val="clear" w:color="auto" w:fill="BFBFBF" w:themeFill="background1" w:themeFillShade="BF"/>
          </w:tcPr>
          <w:p w14:paraId="16C7C262" w14:textId="77777777" w:rsidR="005F53F9" w:rsidRPr="00D07ABD" w:rsidRDefault="005F53F9" w:rsidP="00B23D61">
            <w:pPr>
              <w:pStyle w:val="BodyText2"/>
              <w:spacing w:after="120"/>
              <w:jc w:val="center"/>
              <w:rPr>
                <w:b/>
                <w:iCs/>
              </w:rPr>
            </w:pPr>
            <w:r w:rsidRPr="00D07ABD">
              <w:rPr>
                <w:b/>
                <w:iCs/>
              </w:rPr>
              <w:t xml:space="preserve">Time </w:t>
            </w:r>
          </w:p>
          <w:p w14:paraId="0878E0FA" w14:textId="77777777" w:rsidR="005F53F9" w:rsidRPr="00D07ABD" w:rsidRDefault="005F53F9" w:rsidP="00B23D61">
            <w:pPr>
              <w:pStyle w:val="BodyText2"/>
              <w:spacing w:after="120"/>
              <w:jc w:val="center"/>
              <w:rPr>
                <w:b/>
                <w:iCs/>
              </w:rPr>
            </w:pPr>
            <w:r w:rsidRPr="00D07ABD">
              <w:rPr>
                <w:b/>
                <w:iCs/>
              </w:rPr>
              <w:t>Limit</w:t>
            </w:r>
          </w:p>
        </w:tc>
      </w:tr>
      <w:tr w:rsidR="005F53F9" w:rsidRPr="00D07ABD" w14:paraId="1F503A51" w14:textId="77777777" w:rsidTr="00B23D61">
        <w:trPr>
          <w:trHeight w:val="330"/>
          <w:tblCellSpacing w:w="0" w:type="dxa"/>
        </w:trPr>
        <w:tc>
          <w:tcPr>
            <w:tcW w:w="3149" w:type="dxa"/>
            <w:tcBorders>
              <w:top w:val="single" w:sz="6" w:space="0" w:color="000000"/>
              <w:left w:val="single" w:sz="4" w:space="0" w:color="auto"/>
              <w:bottom w:val="single" w:sz="6" w:space="0" w:color="000000"/>
              <w:right w:val="single" w:sz="6" w:space="0" w:color="000000"/>
            </w:tcBorders>
          </w:tcPr>
          <w:p w14:paraId="75E4A409" w14:textId="77777777" w:rsidR="005F53F9" w:rsidRPr="00D07ABD" w:rsidRDefault="005F53F9" w:rsidP="00B23D61">
            <w:pPr>
              <w:pStyle w:val="BodyText2"/>
              <w:spacing w:after="120"/>
              <w:rPr>
                <w:b/>
                <w:iCs/>
              </w:rPr>
            </w:pPr>
            <w:r w:rsidRPr="00D07ABD">
              <w:rPr>
                <w:b/>
                <w:iCs/>
              </w:rPr>
              <w:t>Money Market Funds CNAV</w:t>
            </w:r>
          </w:p>
        </w:tc>
        <w:tc>
          <w:tcPr>
            <w:tcW w:w="1825" w:type="dxa"/>
            <w:tcBorders>
              <w:top w:val="single" w:sz="6" w:space="0" w:color="000000"/>
              <w:left w:val="single" w:sz="4" w:space="0" w:color="auto"/>
              <w:bottom w:val="single" w:sz="6" w:space="0" w:color="000000"/>
              <w:right w:val="single" w:sz="4" w:space="0" w:color="auto"/>
            </w:tcBorders>
          </w:tcPr>
          <w:p w14:paraId="5F75F5C0" w14:textId="77777777" w:rsidR="005F53F9" w:rsidRPr="00D07ABD" w:rsidRDefault="005F53F9" w:rsidP="00B23D61">
            <w:pPr>
              <w:pStyle w:val="BodyText2"/>
              <w:spacing w:after="120"/>
              <w:jc w:val="center"/>
              <w:rPr>
                <w:b/>
                <w:iCs/>
              </w:rPr>
            </w:pPr>
            <w:r w:rsidRPr="00D07ABD">
              <w:rPr>
                <w:b/>
                <w:iCs/>
              </w:rPr>
              <w:t>AAA</w:t>
            </w:r>
          </w:p>
        </w:tc>
        <w:tc>
          <w:tcPr>
            <w:tcW w:w="1524" w:type="dxa"/>
            <w:tcBorders>
              <w:top w:val="single" w:sz="6" w:space="0" w:color="000000"/>
              <w:left w:val="single" w:sz="4" w:space="0" w:color="auto"/>
              <w:bottom w:val="single" w:sz="6" w:space="0" w:color="000000"/>
              <w:right w:val="single" w:sz="4" w:space="0" w:color="auto"/>
            </w:tcBorders>
          </w:tcPr>
          <w:p w14:paraId="4B61AE60" w14:textId="77777777" w:rsidR="005F53F9" w:rsidRPr="00D07ABD" w:rsidRDefault="005F53F9" w:rsidP="00B23D61">
            <w:pPr>
              <w:pStyle w:val="BodyText2"/>
              <w:spacing w:after="120"/>
              <w:jc w:val="center"/>
              <w:rPr>
                <w:b/>
                <w:iCs/>
              </w:rPr>
            </w:pPr>
            <w:r w:rsidRPr="00D07ABD">
              <w:rPr>
                <w:b/>
                <w:iCs/>
              </w:rPr>
              <w:t>£</w:t>
            </w:r>
            <w:r>
              <w:rPr>
                <w:b/>
                <w:iCs/>
              </w:rPr>
              <w:t>20</w:t>
            </w:r>
            <w:r w:rsidRPr="00D07ABD">
              <w:rPr>
                <w:b/>
                <w:iCs/>
              </w:rPr>
              <w:t>m</w:t>
            </w:r>
          </w:p>
        </w:tc>
        <w:tc>
          <w:tcPr>
            <w:tcW w:w="1134" w:type="dxa"/>
            <w:tcBorders>
              <w:top w:val="single" w:sz="6" w:space="0" w:color="000000"/>
              <w:left w:val="single" w:sz="4" w:space="0" w:color="auto"/>
              <w:bottom w:val="single" w:sz="6" w:space="0" w:color="000000"/>
              <w:right w:val="single" w:sz="4" w:space="0" w:color="auto"/>
            </w:tcBorders>
          </w:tcPr>
          <w:p w14:paraId="7D6B7ABA" w14:textId="77777777" w:rsidR="005F53F9" w:rsidRPr="00D07ABD" w:rsidRDefault="005F53F9" w:rsidP="00B23D61">
            <w:pPr>
              <w:pStyle w:val="BodyText2"/>
              <w:spacing w:after="120"/>
              <w:jc w:val="center"/>
              <w:rPr>
                <w:b/>
                <w:iCs/>
              </w:rPr>
            </w:pPr>
            <w:r w:rsidRPr="00D07ABD">
              <w:rPr>
                <w:b/>
                <w:iCs/>
              </w:rPr>
              <w:t>liquid</w:t>
            </w:r>
          </w:p>
        </w:tc>
      </w:tr>
      <w:tr w:rsidR="005F53F9" w:rsidRPr="00D07ABD" w14:paraId="1DE61404" w14:textId="77777777" w:rsidTr="00B23D61">
        <w:trPr>
          <w:trHeight w:val="330"/>
          <w:tblCellSpacing w:w="0" w:type="dxa"/>
        </w:trPr>
        <w:tc>
          <w:tcPr>
            <w:tcW w:w="3149" w:type="dxa"/>
            <w:tcBorders>
              <w:top w:val="single" w:sz="6" w:space="0" w:color="000000"/>
              <w:left w:val="single" w:sz="4" w:space="0" w:color="auto"/>
              <w:bottom w:val="single" w:sz="6" w:space="0" w:color="000000"/>
              <w:right w:val="single" w:sz="6" w:space="0" w:color="000000"/>
            </w:tcBorders>
          </w:tcPr>
          <w:p w14:paraId="63D9FBEE" w14:textId="77777777" w:rsidR="005F53F9" w:rsidRPr="00D07ABD" w:rsidRDefault="005F53F9" w:rsidP="00B23D61">
            <w:pPr>
              <w:pStyle w:val="BodyText2"/>
              <w:spacing w:after="120"/>
              <w:rPr>
                <w:b/>
                <w:iCs/>
              </w:rPr>
            </w:pPr>
            <w:r w:rsidRPr="00D07ABD">
              <w:rPr>
                <w:b/>
                <w:iCs/>
              </w:rPr>
              <w:t>Money Market Funds LVNAV</w:t>
            </w:r>
          </w:p>
        </w:tc>
        <w:tc>
          <w:tcPr>
            <w:tcW w:w="1825" w:type="dxa"/>
            <w:tcBorders>
              <w:top w:val="single" w:sz="6" w:space="0" w:color="000000"/>
              <w:left w:val="single" w:sz="4" w:space="0" w:color="auto"/>
              <w:bottom w:val="single" w:sz="6" w:space="0" w:color="000000"/>
              <w:right w:val="single" w:sz="4" w:space="0" w:color="auto"/>
            </w:tcBorders>
          </w:tcPr>
          <w:p w14:paraId="3CA2D6BE" w14:textId="77777777" w:rsidR="005F53F9" w:rsidRPr="00D07ABD" w:rsidRDefault="005F53F9" w:rsidP="00B23D61">
            <w:pPr>
              <w:pStyle w:val="BodyText2"/>
              <w:spacing w:after="120"/>
              <w:jc w:val="center"/>
              <w:rPr>
                <w:b/>
                <w:iCs/>
              </w:rPr>
            </w:pPr>
            <w:r w:rsidRPr="00D07ABD">
              <w:rPr>
                <w:b/>
                <w:iCs/>
              </w:rPr>
              <w:t>AAA</w:t>
            </w:r>
          </w:p>
        </w:tc>
        <w:tc>
          <w:tcPr>
            <w:tcW w:w="1524" w:type="dxa"/>
            <w:tcBorders>
              <w:top w:val="single" w:sz="6" w:space="0" w:color="000000"/>
              <w:left w:val="single" w:sz="4" w:space="0" w:color="auto"/>
              <w:bottom w:val="single" w:sz="6" w:space="0" w:color="000000"/>
              <w:right w:val="single" w:sz="4" w:space="0" w:color="auto"/>
            </w:tcBorders>
          </w:tcPr>
          <w:p w14:paraId="4E150579" w14:textId="77777777" w:rsidR="005F53F9" w:rsidRPr="00D07ABD" w:rsidRDefault="005F53F9" w:rsidP="00B23D61">
            <w:pPr>
              <w:pStyle w:val="BodyText2"/>
              <w:spacing w:after="120"/>
              <w:jc w:val="center"/>
              <w:rPr>
                <w:b/>
                <w:iCs/>
              </w:rPr>
            </w:pPr>
            <w:r w:rsidRPr="00D07ABD">
              <w:rPr>
                <w:b/>
                <w:iCs/>
              </w:rPr>
              <w:t>£</w:t>
            </w:r>
            <w:r>
              <w:rPr>
                <w:b/>
                <w:iCs/>
              </w:rPr>
              <w:t>20</w:t>
            </w:r>
            <w:r w:rsidRPr="00D07ABD">
              <w:rPr>
                <w:b/>
                <w:iCs/>
              </w:rPr>
              <w:t>m</w:t>
            </w:r>
          </w:p>
        </w:tc>
        <w:tc>
          <w:tcPr>
            <w:tcW w:w="1134" w:type="dxa"/>
            <w:tcBorders>
              <w:top w:val="single" w:sz="6" w:space="0" w:color="000000"/>
              <w:left w:val="single" w:sz="4" w:space="0" w:color="auto"/>
              <w:bottom w:val="single" w:sz="6" w:space="0" w:color="000000"/>
              <w:right w:val="single" w:sz="4" w:space="0" w:color="auto"/>
            </w:tcBorders>
          </w:tcPr>
          <w:p w14:paraId="177FD39E" w14:textId="77777777" w:rsidR="005F53F9" w:rsidRPr="00D07ABD" w:rsidRDefault="005F53F9" w:rsidP="00B23D61">
            <w:pPr>
              <w:pStyle w:val="BodyText2"/>
              <w:spacing w:after="120"/>
              <w:jc w:val="center"/>
              <w:rPr>
                <w:b/>
                <w:iCs/>
              </w:rPr>
            </w:pPr>
            <w:r w:rsidRPr="00D07ABD">
              <w:rPr>
                <w:b/>
                <w:iCs/>
              </w:rPr>
              <w:t>liquid</w:t>
            </w:r>
          </w:p>
        </w:tc>
      </w:tr>
      <w:tr w:rsidR="005F53F9" w:rsidRPr="00D07ABD" w14:paraId="0410163A" w14:textId="77777777" w:rsidTr="00B23D61">
        <w:trPr>
          <w:trHeight w:val="330"/>
          <w:tblCellSpacing w:w="0" w:type="dxa"/>
        </w:trPr>
        <w:tc>
          <w:tcPr>
            <w:tcW w:w="3149" w:type="dxa"/>
            <w:tcBorders>
              <w:top w:val="single" w:sz="6" w:space="0" w:color="000000"/>
              <w:left w:val="single" w:sz="4" w:space="0" w:color="auto"/>
              <w:bottom w:val="single" w:sz="6" w:space="0" w:color="000000"/>
              <w:right w:val="single" w:sz="6" w:space="0" w:color="000000"/>
            </w:tcBorders>
          </w:tcPr>
          <w:p w14:paraId="1E9A9919" w14:textId="77777777" w:rsidR="005F53F9" w:rsidRPr="00D07ABD" w:rsidRDefault="005F53F9" w:rsidP="00B23D61">
            <w:pPr>
              <w:pStyle w:val="BodyText2"/>
              <w:spacing w:after="120"/>
              <w:rPr>
                <w:b/>
                <w:iCs/>
              </w:rPr>
            </w:pPr>
            <w:r w:rsidRPr="00D07ABD">
              <w:rPr>
                <w:b/>
                <w:iCs/>
              </w:rPr>
              <w:t>Money Market Funds VNAV</w:t>
            </w:r>
          </w:p>
        </w:tc>
        <w:tc>
          <w:tcPr>
            <w:tcW w:w="1825" w:type="dxa"/>
            <w:tcBorders>
              <w:top w:val="single" w:sz="6" w:space="0" w:color="000000"/>
              <w:left w:val="single" w:sz="4" w:space="0" w:color="auto"/>
              <w:bottom w:val="single" w:sz="6" w:space="0" w:color="000000"/>
              <w:right w:val="single" w:sz="4" w:space="0" w:color="auto"/>
            </w:tcBorders>
          </w:tcPr>
          <w:p w14:paraId="2BF01E0A" w14:textId="77777777" w:rsidR="005F53F9" w:rsidRPr="00D07ABD" w:rsidRDefault="005F53F9" w:rsidP="00B23D61">
            <w:pPr>
              <w:pStyle w:val="BodyText2"/>
              <w:spacing w:after="120"/>
              <w:jc w:val="center"/>
              <w:rPr>
                <w:b/>
                <w:iCs/>
              </w:rPr>
            </w:pPr>
            <w:r w:rsidRPr="00D07ABD">
              <w:rPr>
                <w:b/>
                <w:iCs/>
              </w:rPr>
              <w:t>AAA</w:t>
            </w:r>
          </w:p>
        </w:tc>
        <w:tc>
          <w:tcPr>
            <w:tcW w:w="1524" w:type="dxa"/>
            <w:tcBorders>
              <w:top w:val="single" w:sz="6" w:space="0" w:color="000000"/>
              <w:left w:val="single" w:sz="4" w:space="0" w:color="auto"/>
              <w:bottom w:val="single" w:sz="6" w:space="0" w:color="000000"/>
              <w:right w:val="single" w:sz="4" w:space="0" w:color="auto"/>
            </w:tcBorders>
          </w:tcPr>
          <w:p w14:paraId="35BD23D3" w14:textId="77777777" w:rsidR="005F53F9" w:rsidRPr="00D07ABD" w:rsidRDefault="005F53F9" w:rsidP="00B23D61">
            <w:pPr>
              <w:pStyle w:val="BodyText2"/>
              <w:spacing w:after="120"/>
              <w:jc w:val="center"/>
              <w:rPr>
                <w:b/>
                <w:iCs/>
              </w:rPr>
            </w:pPr>
            <w:r w:rsidRPr="00D07ABD">
              <w:rPr>
                <w:b/>
                <w:iCs/>
              </w:rPr>
              <w:t>£</w:t>
            </w:r>
            <w:r>
              <w:rPr>
                <w:b/>
                <w:iCs/>
              </w:rPr>
              <w:t>10</w:t>
            </w:r>
            <w:r w:rsidRPr="00D07ABD">
              <w:rPr>
                <w:b/>
                <w:iCs/>
              </w:rPr>
              <w:t>m</w:t>
            </w:r>
          </w:p>
        </w:tc>
        <w:tc>
          <w:tcPr>
            <w:tcW w:w="1134" w:type="dxa"/>
            <w:tcBorders>
              <w:top w:val="single" w:sz="6" w:space="0" w:color="000000"/>
              <w:left w:val="single" w:sz="4" w:space="0" w:color="auto"/>
              <w:bottom w:val="single" w:sz="6" w:space="0" w:color="000000"/>
              <w:right w:val="single" w:sz="4" w:space="0" w:color="auto"/>
            </w:tcBorders>
          </w:tcPr>
          <w:p w14:paraId="3414265A" w14:textId="77777777" w:rsidR="005F53F9" w:rsidRPr="00D07ABD" w:rsidRDefault="005F53F9" w:rsidP="00B23D61">
            <w:pPr>
              <w:pStyle w:val="BodyText2"/>
              <w:spacing w:after="120"/>
              <w:jc w:val="center"/>
              <w:rPr>
                <w:b/>
                <w:iCs/>
              </w:rPr>
            </w:pPr>
            <w:r w:rsidRPr="00D07ABD">
              <w:rPr>
                <w:b/>
                <w:iCs/>
              </w:rPr>
              <w:t>liquid</w:t>
            </w:r>
          </w:p>
        </w:tc>
      </w:tr>
      <w:tr w:rsidR="005F53F9" w:rsidRPr="00D07ABD" w14:paraId="71814C7C" w14:textId="77777777" w:rsidTr="00B23D61">
        <w:trPr>
          <w:trHeight w:val="330"/>
          <w:tblCellSpacing w:w="0" w:type="dxa"/>
        </w:trPr>
        <w:tc>
          <w:tcPr>
            <w:tcW w:w="3149" w:type="dxa"/>
            <w:tcBorders>
              <w:top w:val="single" w:sz="6" w:space="0" w:color="000000"/>
              <w:left w:val="single" w:sz="4" w:space="0" w:color="auto"/>
              <w:bottom w:val="single" w:sz="6" w:space="0" w:color="000000"/>
              <w:right w:val="single" w:sz="6" w:space="0" w:color="000000"/>
            </w:tcBorders>
          </w:tcPr>
          <w:p w14:paraId="78316624" w14:textId="77777777" w:rsidR="005F53F9" w:rsidRPr="00D07ABD" w:rsidRDefault="005F53F9" w:rsidP="00B23D61">
            <w:pPr>
              <w:rPr>
                <w:rFonts w:cs="Arial"/>
                <w:b/>
                <w:iCs/>
                <w:sz w:val="22"/>
                <w:szCs w:val="22"/>
              </w:rPr>
            </w:pPr>
            <w:r w:rsidRPr="00D07ABD">
              <w:rPr>
                <w:rFonts w:cs="Arial"/>
                <w:b/>
                <w:sz w:val="22"/>
                <w:szCs w:val="22"/>
              </w:rPr>
              <w:t>Ultra-Short Dated Bond Funds</w:t>
            </w:r>
            <w:r w:rsidRPr="00D07ABD" w:rsidDel="00703414">
              <w:rPr>
                <w:rFonts w:cs="Arial"/>
                <w:b/>
                <w:iCs/>
                <w:sz w:val="22"/>
                <w:szCs w:val="22"/>
              </w:rPr>
              <w:t xml:space="preserve"> </w:t>
            </w:r>
            <w:r w:rsidRPr="00D07ABD">
              <w:rPr>
                <w:rFonts w:cs="Arial"/>
                <w:b/>
                <w:iCs/>
                <w:sz w:val="22"/>
                <w:szCs w:val="22"/>
              </w:rPr>
              <w:t>with a credit score of 1.25</w:t>
            </w:r>
          </w:p>
        </w:tc>
        <w:tc>
          <w:tcPr>
            <w:tcW w:w="1825" w:type="dxa"/>
            <w:tcBorders>
              <w:top w:val="single" w:sz="6" w:space="0" w:color="000000"/>
              <w:left w:val="single" w:sz="4" w:space="0" w:color="auto"/>
              <w:bottom w:val="single" w:sz="6" w:space="0" w:color="000000"/>
              <w:right w:val="single" w:sz="4" w:space="0" w:color="auto"/>
            </w:tcBorders>
          </w:tcPr>
          <w:p w14:paraId="1A286054" w14:textId="77777777" w:rsidR="005F53F9" w:rsidRPr="00D07ABD" w:rsidRDefault="005F53F9" w:rsidP="00B23D61">
            <w:pPr>
              <w:pStyle w:val="BodyText2"/>
              <w:spacing w:after="120"/>
              <w:jc w:val="center"/>
              <w:rPr>
                <w:b/>
                <w:iCs/>
              </w:rPr>
            </w:pPr>
            <w:r w:rsidRPr="00D07ABD">
              <w:rPr>
                <w:b/>
                <w:iCs/>
              </w:rPr>
              <w:t xml:space="preserve"> Dark </w:t>
            </w:r>
            <w:r>
              <w:rPr>
                <w:b/>
                <w:iCs/>
              </w:rPr>
              <w:t>P</w:t>
            </w:r>
            <w:r w:rsidRPr="00D07ABD">
              <w:rPr>
                <w:b/>
                <w:iCs/>
              </w:rPr>
              <w:t>ink / AAA</w:t>
            </w:r>
          </w:p>
        </w:tc>
        <w:tc>
          <w:tcPr>
            <w:tcW w:w="1524" w:type="dxa"/>
            <w:tcBorders>
              <w:top w:val="single" w:sz="6" w:space="0" w:color="000000"/>
              <w:left w:val="single" w:sz="4" w:space="0" w:color="auto"/>
              <w:bottom w:val="single" w:sz="6" w:space="0" w:color="000000"/>
              <w:right w:val="single" w:sz="4" w:space="0" w:color="auto"/>
            </w:tcBorders>
          </w:tcPr>
          <w:p w14:paraId="1A0423B3" w14:textId="77777777" w:rsidR="005F53F9" w:rsidRPr="00D07ABD" w:rsidRDefault="005F53F9" w:rsidP="00B23D61">
            <w:pPr>
              <w:pStyle w:val="BodyText2"/>
              <w:spacing w:after="120"/>
              <w:jc w:val="center"/>
              <w:rPr>
                <w:b/>
                <w:iCs/>
              </w:rPr>
            </w:pPr>
            <w:r w:rsidRPr="00D07ABD">
              <w:rPr>
                <w:b/>
                <w:iCs/>
              </w:rPr>
              <w:t>£</w:t>
            </w:r>
            <w:r>
              <w:rPr>
                <w:b/>
                <w:iCs/>
              </w:rPr>
              <w:t>5</w:t>
            </w:r>
            <w:r w:rsidRPr="00D07ABD">
              <w:rPr>
                <w:b/>
                <w:iCs/>
              </w:rPr>
              <w:t>m</w:t>
            </w:r>
          </w:p>
        </w:tc>
        <w:tc>
          <w:tcPr>
            <w:tcW w:w="1134" w:type="dxa"/>
            <w:tcBorders>
              <w:top w:val="single" w:sz="6" w:space="0" w:color="000000"/>
              <w:left w:val="single" w:sz="4" w:space="0" w:color="auto"/>
              <w:bottom w:val="single" w:sz="6" w:space="0" w:color="000000"/>
              <w:right w:val="single" w:sz="4" w:space="0" w:color="auto"/>
            </w:tcBorders>
          </w:tcPr>
          <w:p w14:paraId="2BDA51CF" w14:textId="77777777" w:rsidR="005F53F9" w:rsidRPr="00D07ABD" w:rsidRDefault="005F53F9" w:rsidP="00B23D61">
            <w:pPr>
              <w:pStyle w:val="BodyText2"/>
              <w:spacing w:after="120"/>
              <w:jc w:val="center"/>
              <w:rPr>
                <w:b/>
                <w:iCs/>
              </w:rPr>
            </w:pPr>
            <w:r w:rsidRPr="00D07ABD">
              <w:rPr>
                <w:b/>
                <w:iCs/>
              </w:rPr>
              <w:t>liquid</w:t>
            </w:r>
          </w:p>
        </w:tc>
      </w:tr>
      <w:tr w:rsidR="005F53F9" w:rsidRPr="00D07ABD" w14:paraId="511E0371" w14:textId="77777777" w:rsidTr="00B23D61">
        <w:trPr>
          <w:trHeight w:val="330"/>
          <w:tblCellSpacing w:w="0" w:type="dxa"/>
        </w:trPr>
        <w:tc>
          <w:tcPr>
            <w:tcW w:w="3149" w:type="dxa"/>
            <w:tcBorders>
              <w:top w:val="single" w:sz="6" w:space="0" w:color="000000"/>
              <w:left w:val="single" w:sz="4" w:space="0" w:color="auto"/>
              <w:bottom w:val="single" w:sz="4" w:space="0" w:color="auto"/>
              <w:right w:val="single" w:sz="6" w:space="0" w:color="000000"/>
            </w:tcBorders>
          </w:tcPr>
          <w:p w14:paraId="08602C88" w14:textId="77777777" w:rsidR="005F53F9" w:rsidRPr="00D07ABD" w:rsidRDefault="005F53F9" w:rsidP="00B23D61">
            <w:pPr>
              <w:rPr>
                <w:rFonts w:cs="Arial"/>
                <w:b/>
                <w:iCs/>
                <w:sz w:val="22"/>
                <w:szCs w:val="22"/>
              </w:rPr>
            </w:pPr>
            <w:r w:rsidRPr="00D07ABD">
              <w:rPr>
                <w:rFonts w:cs="Arial"/>
                <w:b/>
                <w:sz w:val="22"/>
                <w:szCs w:val="22"/>
              </w:rPr>
              <w:t>Ultra-Short Dated Bond Funds</w:t>
            </w:r>
            <w:r w:rsidRPr="00D07ABD">
              <w:rPr>
                <w:rFonts w:cs="Arial"/>
                <w:b/>
                <w:iCs/>
                <w:sz w:val="22"/>
                <w:szCs w:val="22"/>
              </w:rPr>
              <w:t xml:space="preserve"> with a credit score of 1.50</w:t>
            </w:r>
          </w:p>
        </w:tc>
        <w:tc>
          <w:tcPr>
            <w:tcW w:w="1825" w:type="dxa"/>
            <w:tcBorders>
              <w:top w:val="single" w:sz="6" w:space="0" w:color="000000"/>
              <w:left w:val="single" w:sz="4" w:space="0" w:color="auto"/>
              <w:bottom w:val="single" w:sz="4" w:space="0" w:color="auto"/>
              <w:right w:val="single" w:sz="4" w:space="0" w:color="auto"/>
            </w:tcBorders>
          </w:tcPr>
          <w:p w14:paraId="6C991E11" w14:textId="77777777" w:rsidR="005F53F9" w:rsidRPr="00D07ABD" w:rsidRDefault="005F53F9" w:rsidP="00B23D61">
            <w:pPr>
              <w:pStyle w:val="BodyText2"/>
              <w:spacing w:after="120"/>
              <w:jc w:val="center"/>
              <w:rPr>
                <w:b/>
                <w:iCs/>
              </w:rPr>
            </w:pPr>
            <w:r w:rsidRPr="00D07ABD">
              <w:rPr>
                <w:b/>
                <w:iCs/>
              </w:rPr>
              <w:t xml:space="preserve">Light </w:t>
            </w:r>
            <w:r>
              <w:rPr>
                <w:b/>
                <w:iCs/>
              </w:rPr>
              <w:t>P</w:t>
            </w:r>
            <w:r w:rsidRPr="00D07ABD">
              <w:rPr>
                <w:b/>
                <w:iCs/>
              </w:rPr>
              <w:t>ink / AAA</w:t>
            </w:r>
          </w:p>
        </w:tc>
        <w:tc>
          <w:tcPr>
            <w:tcW w:w="1524" w:type="dxa"/>
            <w:tcBorders>
              <w:top w:val="single" w:sz="6" w:space="0" w:color="000000"/>
              <w:left w:val="single" w:sz="4" w:space="0" w:color="auto"/>
              <w:bottom w:val="single" w:sz="4" w:space="0" w:color="auto"/>
              <w:right w:val="single" w:sz="4" w:space="0" w:color="auto"/>
            </w:tcBorders>
          </w:tcPr>
          <w:p w14:paraId="49236903" w14:textId="77777777" w:rsidR="005F53F9" w:rsidRPr="00D07ABD" w:rsidRDefault="005F53F9" w:rsidP="00B23D61">
            <w:pPr>
              <w:pStyle w:val="BodyText2"/>
              <w:spacing w:after="120"/>
              <w:jc w:val="center"/>
              <w:rPr>
                <w:b/>
                <w:iCs/>
              </w:rPr>
            </w:pPr>
            <w:r w:rsidRPr="00D07ABD">
              <w:rPr>
                <w:b/>
                <w:iCs/>
              </w:rPr>
              <w:t>£</w:t>
            </w:r>
            <w:r>
              <w:rPr>
                <w:b/>
                <w:iCs/>
              </w:rPr>
              <w:t>5</w:t>
            </w:r>
            <w:r w:rsidRPr="00D07ABD">
              <w:rPr>
                <w:b/>
                <w:iCs/>
              </w:rPr>
              <w:t>m</w:t>
            </w:r>
          </w:p>
        </w:tc>
        <w:tc>
          <w:tcPr>
            <w:tcW w:w="1134" w:type="dxa"/>
            <w:tcBorders>
              <w:top w:val="single" w:sz="6" w:space="0" w:color="000000"/>
              <w:left w:val="single" w:sz="4" w:space="0" w:color="auto"/>
              <w:bottom w:val="single" w:sz="4" w:space="0" w:color="auto"/>
              <w:right w:val="single" w:sz="4" w:space="0" w:color="auto"/>
            </w:tcBorders>
          </w:tcPr>
          <w:p w14:paraId="6E807539" w14:textId="77777777" w:rsidR="005F53F9" w:rsidRPr="00D07ABD" w:rsidRDefault="005F53F9" w:rsidP="00B23D61">
            <w:pPr>
              <w:pStyle w:val="BodyText2"/>
              <w:spacing w:after="120"/>
              <w:jc w:val="center"/>
              <w:rPr>
                <w:b/>
                <w:iCs/>
              </w:rPr>
            </w:pPr>
            <w:r w:rsidRPr="00D07ABD">
              <w:rPr>
                <w:b/>
                <w:iCs/>
              </w:rPr>
              <w:t>liquid</w:t>
            </w:r>
          </w:p>
        </w:tc>
      </w:tr>
    </w:tbl>
    <w:p w14:paraId="0776EA15" w14:textId="5693E951" w:rsidR="005F53F9" w:rsidRDefault="005F53F9" w:rsidP="005F53F9">
      <w:pPr>
        <w:tabs>
          <w:tab w:val="left" w:pos="1985"/>
        </w:tabs>
        <w:rPr>
          <w:rFonts w:cs="Arial"/>
          <w:sz w:val="22"/>
          <w:szCs w:val="22"/>
        </w:rPr>
      </w:pPr>
    </w:p>
    <w:p w14:paraId="1835870E" w14:textId="77777777" w:rsidR="00D14F60" w:rsidRDefault="00D14F60" w:rsidP="00D14F60">
      <w:pPr>
        <w:jc w:val="both"/>
        <w:rPr>
          <w:rFonts w:eastAsia="Bliss 2 Regular" w:cs="Arial"/>
          <w:b/>
          <w:color w:val="0D0D0D" w:themeColor="text1" w:themeTint="F2"/>
          <w:szCs w:val="24"/>
        </w:rPr>
      </w:pPr>
    </w:p>
    <w:p w14:paraId="4F45CFD6" w14:textId="72382F22" w:rsidR="00D14F60" w:rsidRDefault="00D14F60" w:rsidP="00D14F60">
      <w:pPr>
        <w:jc w:val="both"/>
        <w:rPr>
          <w:rFonts w:eastAsia="Bliss 2 Regular" w:cs="Arial"/>
          <w:b/>
          <w:color w:val="0D0D0D" w:themeColor="text1" w:themeTint="F2"/>
          <w:szCs w:val="24"/>
        </w:rPr>
      </w:pPr>
      <w:r>
        <w:rPr>
          <w:rFonts w:eastAsia="Bliss 2 Regular" w:cs="Arial"/>
          <w:b/>
          <w:color w:val="0D0D0D" w:themeColor="text1" w:themeTint="F2"/>
          <w:szCs w:val="24"/>
        </w:rPr>
        <w:t>Councils own Bank – RBS</w:t>
      </w:r>
    </w:p>
    <w:p w14:paraId="14CFA918" w14:textId="26C16AEA" w:rsidR="00D14F60" w:rsidRPr="00D14F60" w:rsidRDefault="00D14F60" w:rsidP="00D14F60">
      <w:pPr>
        <w:jc w:val="both"/>
        <w:rPr>
          <w:rFonts w:eastAsia="Bliss 2 Regular" w:cs="Arial"/>
          <w:bCs/>
          <w:color w:val="0D0D0D" w:themeColor="text1" w:themeTint="F2"/>
          <w:szCs w:val="24"/>
        </w:rPr>
      </w:pPr>
      <w:bookmarkStart w:id="34" w:name="_Hlk126843508"/>
      <w:r>
        <w:rPr>
          <w:rFonts w:eastAsia="Bliss 2 Regular" w:cs="Arial"/>
          <w:bCs/>
          <w:color w:val="0D0D0D" w:themeColor="text1" w:themeTint="F2"/>
          <w:szCs w:val="24"/>
        </w:rPr>
        <w:t>The Council will have an overriding limit of £50m with RBS</w:t>
      </w:r>
      <w:r w:rsidR="00C875D6">
        <w:rPr>
          <w:rFonts w:eastAsia="Bliss 2 Regular" w:cs="Arial"/>
          <w:bCs/>
          <w:color w:val="0D0D0D" w:themeColor="text1" w:themeTint="F2"/>
          <w:szCs w:val="24"/>
        </w:rPr>
        <w:t xml:space="preserve"> </w:t>
      </w:r>
      <w:r w:rsidR="002D7769">
        <w:rPr>
          <w:rFonts w:eastAsia="Bliss 2 Regular" w:cs="Arial"/>
          <w:bCs/>
          <w:color w:val="0D0D0D" w:themeColor="text1" w:themeTint="F2"/>
          <w:szCs w:val="24"/>
        </w:rPr>
        <w:t>to</w:t>
      </w:r>
      <w:r w:rsidR="00C875D6">
        <w:rPr>
          <w:rFonts w:eastAsia="Bliss 2 Regular" w:cs="Arial"/>
          <w:bCs/>
          <w:color w:val="0D0D0D" w:themeColor="text1" w:themeTint="F2"/>
          <w:szCs w:val="24"/>
        </w:rPr>
        <w:t xml:space="preserve"> be held on instant access.</w:t>
      </w:r>
      <w:r>
        <w:rPr>
          <w:rFonts w:eastAsia="Bliss 2 Regular" w:cs="Arial"/>
          <w:bCs/>
          <w:color w:val="0D0D0D" w:themeColor="text1" w:themeTint="F2"/>
          <w:szCs w:val="24"/>
        </w:rPr>
        <w:t xml:space="preserve"> If the Council ma</w:t>
      </w:r>
      <w:r w:rsidR="002D7769">
        <w:rPr>
          <w:rFonts w:eastAsia="Bliss 2 Regular" w:cs="Arial"/>
          <w:bCs/>
          <w:color w:val="0D0D0D" w:themeColor="text1" w:themeTint="F2"/>
          <w:szCs w:val="24"/>
        </w:rPr>
        <w:t>kes</w:t>
      </w:r>
      <w:r>
        <w:rPr>
          <w:rFonts w:eastAsia="Bliss 2 Regular" w:cs="Arial"/>
          <w:bCs/>
          <w:color w:val="0D0D0D" w:themeColor="text1" w:themeTint="F2"/>
          <w:szCs w:val="24"/>
        </w:rPr>
        <w:t xml:space="preserve"> </w:t>
      </w:r>
      <w:r w:rsidR="00C44B0C">
        <w:rPr>
          <w:rFonts w:eastAsia="Bliss 2 Regular" w:cs="Arial"/>
          <w:bCs/>
          <w:color w:val="0D0D0D" w:themeColor="text1" w:themeTint="F2"/>
          <w:szCs w:val="24"/>
        </w:rPr>
        <w:t xml:space="preserve">an </w:t>
      </w:r>
      <w:r>
        <w:rPr>
          <w:rFonts w:eastAsia="Bliss 2 Regular" w:cs="Arial"/>
          <w:bCs/>
          <w:color w:val="0D0D0D" w:themeColor="text1" w:themeTint="F2"/>
          <w:szCs w:val="24"/>
        </w:rPr>
        <w:t xml:space="preserve">investment with RBS in accordance with the Banks suggested duration </w:t>
      </w:r>
      <w:r w:rsidR="002D7769">
        <w:rPr>
          <w:rFonts w:eastAsia="Bliss 2 Regular" w:cs="Arial"/>
          <w:bCs/>
          <w:color w:val="0D0D0D" w:themeColor="text1" w:themeTint="F2"/>
          <w:szCs w:val="24"/>
        </w:rPr>
        <w:t>according to</w:t>
      </w:r>
      <w:r>
        <w:rPr>
          <w:rFonts w:eastAsia="Bliss 2 Regular" w:cs="Arial"/>
          <w:bCs/>
          <w:color w:val="0D0D0D" w:themeColor="text1" w:themeTint="F2"/>
          <w:szCs w:val="24"/>
        </w:rPr>
        <w:t xml:space="preserve"> the Link Credit Methodology (as per the colour bandings</w:t>
      </w:r>
      <w:r w:rsidR="002D7769">
        <w:rPr>
          <w:rFonts w:eastAsia="Bliss 2 Regular" w:cs="Arial"/>
          <w:bCs/>
          <w:color w:val="0D0D0D" w:themeColor="text1" w:themeTint="F2"/>
          <w:szCs w:val="24"/>
        </w:rPr>
        <w:t>/limits in the table above</w:t>
      </w:r>
      <w:r>
        <w:rPr>
          <w:rFonts w:eastAsia="Bliss 2 Regular" w:cs="Arial"/>
          <w:bCs/>
          <w:color w:val="0D0D0D" w:themeColor="text1" w:themeTint="F2"/>
          <w:szCs w:val="24"/>
        </w:rPr>
        <w:t xml:space="preserve"> above) the £50m limit for RBS</w:t>
      </w:r>
      <w:r w:rsidR="00C13D10">
        <w:rPr>
          <w:rFonts w:eastAsia="Bliss 2 Regular" w:cs="Arial"/>
          <w:bCs/>
          <w:color w:val="0D0D0D" w:themeColor="text1" w:themeTint="F2"/>
          <w:szCs w:val="24"/>
        </w:rPr>
        <w:t xml:space="preserve"> in respect of</w:t>
      </w:r>
      <w:r>
        <w:rPr>
          <w:rFonts w:eastAsia="Bliss 2 Regular" w:cs="Arial"/>
          <w:bCs/>
          <w:color w:val="0D0D0D" w:themeColor="text1" w:themeTint="F2"/>
          <w:szCs w:val="24"/>
        </w:rPr>
        <w:t xml:space="preserve"> funds that could be held on instant access will be reduced accordingly</w:t>
      </w:r>
      <w:r w:rsidR="002D7769">
        <w:rPr>
          <w:rFonts w:eastAsia="Bliss 2 Regular" w:cs="Arial"/>
          <w:bCs/>
          <w:color w:val="0D0D0D" w:themeColor="text1" w:themeTint="F2"/>
          <w:szCs w:val="24"/>
        </w:rPr>
        <w:t>.</w:t>
      </w:r>
    </w:p>
    <w:bookmarkEnd w:id="34"/>
    <w:p w14:paraId="19B6F594" w14:textId="77777777" w:rsidR="00805B98" w:rsidRDefault="00805B98" w:rsidP="005F53F9">
      <w:pPr>
        <w:jc w:val="both"/>
        <w:rPr>
          <w:rFonts w:eastAsia="Bliss 2 Regular" w:cs="Arial"/>
          <w:b/>
          <w:color w:val="0D0D0D" w:themeColor="text1" w:themeTint="F2"/>
          <w:szCs w:val="24"/>
        </w:rPr>
      </w:pPr>
    </w:p>
    <w:p w14:paraId="77FEEDE9" w14:textId="2B6696E1" w:rsidR="005F53F9" w:rsidRPr="00805B98" w:rsidRDefault="005F53F9" w:rsidP="005F53F9">
      <w:pPr>
        <w:jc w:val="both"/>
        <w:rPr>
          <w:rFonts w:eastAsia="Bliss 2 Regular" w:cs="Arial"/>
          <w:b/>
          <w:color w:val="0D0D0D" w:themeColor="text1" w:themeTint="F2"/>
          <w:szCs w:val="24"/>
        </w:rPr>
      </w:pPr>
      <w:r w:rsidRPr="00805B98">
        <w:rPr>
          <w:rFonts w:eastAsia="Bliss 2 Regular" w:cs="Arial"/>
          <w:b/>
          <w:color w:val="0D0D0D" w:themeColor="text1" w:themeTint="F2"/>
          <w:szCs w:val="24"/>
        </w:rPr>
        <w:t xml:space="preserve">Sovereign </w:t>
      </w:r>
    </w:p>
    <w:p w14:paraId="09F9EC06" w14:textId="77777777" w:rsidR="005F53F9" w:rsidRPr="00805B98" w:rsidRDefault="005F53F9" w:rsidP="005F53F9">
      <w:pPr>
        <w:jc w:val="both"/>
        <w:rPr>
          <w:rFonts w:eastAsia="Bliss 2 Regular" w:cs="Arial"/>
          <w:bCs/>
          <w:color w:val="0D0D0D" w:themeColor="text1" w:themeTint="F2"/>
          <w:szCs w:val="24"/>
        </w:rPr>
      </w:pPr>
      <w:r w:rsidRPr="00805B98">
        <w:rPr>
          <w:rFonts w:eastAsia="Bliss 2 Regular" w:cs="Arial"/>
          <w:bCs/>
          <w:color w:val="0D0D0D" w:themeColor="text1" w:themeTint="F2"/>
          <w:szCs w:val="24"/>
        </w:rPr>
        <w:t>The Authority will invest in counterparties based in the UK plus those domiciled in countries with a minimum sovereign rating of AA-.</w:t>
      </w:r>
    </w:p>
    <w:p w14:paraId="53E056B4" w14:textId="77777777" w:rsidR="005F53F9" w:rsidRPr="00805B98" w:rsidRDefault="005F53F9" w:rsidP="005F53F9">
      <w:pPr>
        <w:jc w:val="both"/>
        <w:rPr>
          <w:rFonts w:eastAsia="Bliss 2 Regular" w:cs="Arial"/>
          <w:bCs/>
          <w:color w:val="0D0D0D" w:themeColor="text1" w:themeTint="F2"/>
          <w:szCs w:val="24"/>
        </w:rPr>
      </w:pPr>
    </w:p>
    <w:p w14:paraId="606B1DE4" w14:textId="77777777" w:rsidR="005F53F9" w:rsidRPr="00805B98" w:rsidRDefault="005F53F9" w:rsidP="005F53F9">
      <w:pPr>
        <w:jc w:val="both"/>
        <w:rPr>
          <w:rFonts w:eastAsia="Bliss 2 Regular" w:cs="Arial"/>
          <w:b/>
          <w:color w:val="0D0D0D" w:themeColor="text1" w:themeTint="F2"/>
          <w:szCs w:val="24"/>
        </w:rPr>
      </w:pPr>
      <w:r w:rsidRPr="00805B98">
        <w:rPr>
          <w:rFonts w:eastAsia="Bliss 2 Regular" w:cs="Arial"/>
          <w:b/>
          <w:color w:val="0D0D0D" w:themeColor="text1" w:themeTint="F2"/>
          <w:szCs w:val="24"/>
        </w:rPr>
        <w:t>Groups of Companies</w:t>
      </w:r>
    </w:p>
    <w:p w14:paraId="0866A041" w14:textId="77777777" w:rsidR="005F53F9" w:rsidRPr="00805B98" w:rsidRDefault="005F53F9" w:rsidP="005F53F9">
      <w:pPr>
        <w:jc w:val="both"/>
        <w:rPr>
          <w:rFonts w:eastAsia="Bliss 2 Regular" w:cs="Arial"/>
          <w:bCs/>
          <w:color w:val="0D0D0D" w:themeColor="text1" w:themeTint="F2"/>
          <w:szCs w:val="24"/>
        </w:rPr>
      </w:pPr>
      <w:r w:rsidRPr="00805B98">
        <w:rPr>
          <w:rFonts w:eastAsia="Bliss 2 Regular" w:cs="Arial"/>
          <w:bCs/>
          <w:color w:val="0D0D0D" w:themeColor="text1" w:themeTint="F2"/>
          <w:szCs w:val="24"/>
        </w:rPr>
        <w:t>The Authority will treat groups of companies as one counterparty and therefore one limit will apply across all entities within that group.</w:t>
      </w:r>
    </w:p>
    <w:p w14:paraId="641E8AB8" w14:textId="77777777" w:rsidR="005F53F9" w:rsidRPr="00805B98" w:rsidRDefault="005F53F9" w:rsidP="005F53F9">
      <w:pPr>
        <w:jc w:val="both"/>
        <w:rPr>
          <w:rFonts w:eastAsia="Bliss 2 Regular" w:cs="Arial"/>
          <w:bCs/>
          <w:color w:val="0D0D0D" w:themeColor="text1" w:themeTint="F2"/>
          <w:szCs w:val="24"/>
        </w:rPr>
      </w:pPr>
    </w:p>
    <w:p w14:paraId="5E3212CB" w14:textId="77777777" w:rsidR="005F53F9" w:rsidRPr="00805B98" w:rsidRDefault="005F53F9" w:rsidP="005F53F9">
      <w:pPr>
        <w:jc w:val="both"/>
        <w:rPr>
          <w:rFonts w:eastAsia="Bliss 2 Regular" w:cs="Arial"/>
          <w:b/>
          <w:color w:val="0D0D0D" w:themeColor="text1" w:themeTint="F2"/>
          <w:szCs w:val="24"/>
        </w:rPr>
      </w:pPr>
      <w:r w:rsidRPr="00805B98">
        <w:rPr>
          <w:rFonts w:eastAsia="Bliss 2 Regular" w:cs="Arial"/>
          <w:b/>
          <w:color w:val="0D0D0D" w:themeColor="text1" w:themeTint="F2"/>
          <w:szCs w:val="24"/>
        </w:rPr>
        <w:t>Specified Investments</w:t>
      </w:r>
    </w:p>
    <w:p w14:paraId="4207F127" w14:textId="77777777" w:rsidR="005F53F9" w:rsidRPr="00805B98" w:rsidRDefault="005F53F9" w:rsidP="005F53F9">
      <w:pPr>
        <w:jc w:val="both"/>
        <w:rPr>
          <w:rFonts w:eastAsia="Bliss 2 Regular" w:cs="Arial"/>
          <w:b/>
          <w:color w:val="0D0D0D" w:themeColor="text1" w:themeTint="F2"/>
          <w:szCs w:val="24"/>
        </w:rPr>
      </w:pPr>
    </w:p>
    <w:p w14:paraId="45BB453A" w14:textId="77777777" w:rsidR="005F53F9" w:rsidRPr="00805B98" w:rsidRDefault="005F53F9" w:rsidP="0019453A">
      <w:pPr>
        <w:jc w:val="both"/>
        <w:rPr>
          <w:rFonts w:eastAsia="Bliss 2 Regular" w:cs="Arial"/>
          <w:bCs/>
          <w:color w:val="0D0D0D" w:themeColor="text1" w:themeTint="F2"/>
          <w:szCs w:val="24"/>
        </w:rPr>
      </w:pPr>
      <w:r w:rsidRPr="00805B98">
        <w:rPr>
          <w:rFonts w:eastAsia="Bliss 2 Regular" w:cs="Arial"/>
          <w:bCs/>
          <w:color w:val="0D0D0D" w:themeColor="text1" w:themeTint="F2"/>
          <w:szCs w:val="24"/>
        </w:rPr>
        <w:t>The MHCLG Investment Guidance defines a specified investment if all the following apply:</w:t>
      </w:r>
    </w:p>
    <w:p w14:paraId="3C5B96AA" w14:textId="77777777" w:rsidR="005F53F9" w:rsidRPr="00805B98" w:rsidRDefault="005F53F9" w:rsidP="0019453A">
      <w:pPr>
        <w:pStyle w:val="ListParagraph"/>
        <w:numPr>
          <w:ilvl w:val="0"/>
          <w:numId w:val="1"/>
        </w:numPr>
        <w:tabs>
          <w:tab w:val="num" w:pos="709"/>
        </w:tabs>
        <w:autoSpaceDE w:val="0"/>
        <w:autoSpaceDN w:val="0"/>
        <w:adjustRightInd w:val="0"/>
        <w:jc w:val="both"/>
        <w:rPr>
          <w:rFonts w:cs="Arial"/>
          <w:szCs w:val="24"/>
          <w:lang w:eastAsia="en-GB"/>
        </w:rPr>
      </w:pPr>
      <w:r w:rsidRPr="00805B98">
        <w:rPr>
          <w:rFonts w:cs="Arial"/>
          <w:szCs w:val="24"/>
          <w:lang w:eastAsia="en-GB"/>
        </w:rPr>
        <w:t xml:space="preserve">The investment is denominated in sterling and any payments or repayments in the respect of the investment are payable only in sterling. </w:t>
      </w:r>
    </w:p>
    <w:p w14:paraId="20AFD45F" w14:textId="77777777" w:rsidR="005F53F9" w:rsidRPr="00805B98" w:rsidRDefault="005F53F9" w:rsidP="0019453A">
      <w:pPr>
        <w:pStyle w:val="ListParagraph"/>
        <w:numPr>
          <w:ilvl w:val="0"/>
          <w:numId w:val="1"/>
        </w:numPr>
        <w:tabs>
          <w:tab w:val="num" w:pos="709"/>
        </w:tabs>
        <w:autoSpaceDE w:val="0"/>
        <w:autoSpaceDN w:val="0"/>
        <w:adjustRightInd w:val="0"/>
        <w:jc w:val="both"/>
        <w:rPr>
          <w:rFonts w:cs="Arial"/>
          <w:szCs w:val="24"/>
          <w:lang w:eastAsia="en-GB"/>
        </w:rPr>
      </w:pPr>
      <w:r w:rsidRPr="00805B98">
        <w:rPr>
          <w:rFonts w:cs="Arial"/>
          <w:szCs w:val="24"/>
          <w:lang w:eastAsia="en-GB"/>
        </w:rPr>
        <w:t xml:space="preserve">The investment is not a </w:t>
      </w:r>
      <w:proofErr w:type="gramStart"/>
      <w:r w:rsidRPr="00805B98">
        <w:rPr>
          <w:rFonts w:cs="Arial"/>
          <w:szCs w:val="24"/>
          <w:lang w:eastAsia="en-GB"/>
        </w:rPr>
        <w:t>long term</w:t>
      </w:r>
      <w:proofErr w:type="gramEnd"/>
      <w:r w:rsidRPr="00805B98">
        <w:rPr>
          <w:rFonts w:cs="Arial"/>
          <w:szCs w:val="24"/>
          <w:lang w:eastAsia="en-GB"/>
        </w:rPr>
        <w:t xml:space="preserve"> investment. This means that the local authority has contractual right to repayment within 12 months, either because that is the expiry term of the investment or through a </w:t>
      </w:r>
      <w:proofErr w:type="spellStart"/>
      <w:r w:rsidRPr="00805B98">
        <w:rPr>
          <w:rFonts w:cs="Arial"/>
          <w:szCs w:val="24"/>
          <w:lang w:eastAsia="en-GB"/>
        </w:rPr>
        <w:t>non conditional</w:t>
      </w:r>
      <w:proofErr w:type="spellEnd"/>
      <w:r w:rsidRPr="00805B98">
        <w:rPr>
          <w:rFonts w:cs="Arial"/>
          <w:szCs w:val="24"/>
          <w:lang w:eastAsia="en-GB"/>
        </w:rPr>
        <w:t xml:space="preserve"> option. </w:t>
      </w:r>
    </w:p>
    <w:p w14:paraId="14730779" w14:textId="77777777" w:rsidR="005F53F9" w:rsidRPr="00805B98" w:rsidRDefault="005F53F9" w:rsidP="0019453A">
      <w:pPr>
        <w:pStyle w:val="ListParagraph"/>
        <w:numPr>
          <w:ilvl w:val="0"/>
          <w:numId w:val="1"/>
        </w:numPr>
        <w:tabs>
          <w:tab w:val="num" w:pos="709"/>
        </w:tabs>
        <w:autoSpaceDE w:val="0"/>
        <w:autoSpaceDN w:val="0"/>
        <w:adjustRightInd w:val="0"/>
        <w:jc w:val="both"/>
        <w:rPr>
          <w:rFonts w:cs="Arial"/>
          <w:szCs w:val="24"/>
          <w:lang w:eastAsia="en-GB"/>
        </w:rPr>
      </w:pPr>
      <w:r w:rsidRPr="00805B98">
        <w:rPr>
          <w:rFonts w:cs="Arial"/>
          <w:szCs w:val="24"/>
          <w:lang w:eastAsia="en-GB"/>
        </w:rPr>
        <w:t>The making of the investment is not defined as capital expenditure by virtue of Regulation 25(1)(d) of the Local Authorities (Capital Finance and Accounting) (England) Regulations 2003 [as amended].</w:t>
      </w:r>
    </w:p>
    <w:p w14:paraId="1BF260F6" w14:textId="77777777" w:rsidR="005F53F9" w:rsidRPr="00805B98" w:rsidRDefault="005F53F9" w:rsidP="0019453A">
      <w:pPr>
        <w:pStyle w:val="ListParagraph"/>
        <w:numPr>
          <w:ilvl w:val="0"/>
          <w:numId w:val="1"/>
        </w:numPr>
        <w:tabs>
          <w:tab w:val="num" w:pos="709"/>
        </w:tabs>
        <w:autoSpaceDE w:val="0"/>
        <w:autoSpaceDN w:val="0"/>
        <w:adjustRightInd w:val="0"/>
        <w:jc w:val="both"/>
        <w:rPr>
          <w:rFonts w:cs="Arial"/>
          <w:szCs w:val="24"/>
          <w:lang w:eastAsia="en-GB"/>
        </w:rPr>
      </w:pPr>
      <w:r w:rsidRPr="00805B98">
        <w:rPr>
          <w:rFonts w:cs="Arial"/>
          <w:szCs w:val="24"/>
          <w:lang w:eastAsia="en-GB"/>
        </w:rPr>
        <w:t xml:space="preserve">The investment is made with a body or in an investment scheme described as high quality (see paragraph 33 or with one of the following bodies: </w:t>
      </w:r>
    </w:p>
    <w:p w14:paraId="3C7E7317" w14:textId="77777777" w:rsidR="005F53F9" w:rsidRPr="00805B98" w:rsidRDefault="005F53F9" w:rsidP="0064287C">
      <w:pPr>
        <w:pStyle w:val="ListParagraph"/>
        <w:numPr>
          <w:ilvl w:val="1"/>
          <w:numId w:val="25"/>
        </w:numPr>
        <w:jc w:val="both"/>
        <w:rPr>
          <w:rFonts w:eastAsia="Bliss 2 Regular" w:cs="Arial"/>
          <w:bCs/>
          <w:color w:val="0D0D0D" w:themeColor="text1" w:themeTint="F2"/>
          <w:szCs w:val="24"/>
        </w:rPr>
      </w:pPr>
      <w:r w:rsidRPr="00805B98">
        <w:rPr>
          <w:rFonts w:eastAsia="Bliss 2 Regular" w:cs="Arial"/>
          <w:bCs/>
          <w:color w:val="0D0D0D" w:themeColor="text1" w:themeTint="F2"/>
          <w:szCs w:val="24"/>
        </w:rPr>
        <w:t xml:space="preserve">The United Kingdom </w:t>
      </w:r>
      <w:proofErr w:type="gramStart"/>
      <w:r w:rsidRPr="00805B98">
        <w:rPr>
          <w:rFonts w:eastAsia="Bliss 2 Regular" w:cs="Arial"/>
          <w:bCs/>
          <w:color w:val="0D0D0D" w:themeColor="text1" w:themeTint="F2"/>
          <w:szCs w:val="24"/>
        </w:rPr>
        <w:t>Government;</w:t>
      </w:r>
      <w:proofErr w:type="gramEnd"/>
      <w:r w:rsidRPr="00805B98">
        <w:rPr>
          <w:rFonts w:eastAsia="Bliss 2 Regular" w:cs="Arial"/>
          <w:bCs/>
          <w:color w:val="0D0D0D" w:themeColor="text1" w:themeTint="F2"/>
          <w:szCs w:val="24"/>
        </w:rPr>
        <w:t xml:space="preserve"> </w:t>
      </w:r>
    </w:p>
    <w:p w14:paraId="5A121C42" w14:textId="77777777" w:rsidR="005F53F9" w:rsidRPr="00805B98" w:rsidRDefault="005F53F9" w:rsidP="0064287C">
      <w:pPr>
        <w:pStyle w:val="ListParagraph"/>
        <w:numPr>
          <w:ilvl w:val="1"/>
          <w:numId w:val="25"/>
        </w:numPr>
        <w:jc w:val="both"/>
        <w:rPr>
          <w:rFonts w:eastAsia="Bliss 2 Regular" w:cs="Arial"/>
          <w:bCs/>
          <w:color w:val="0D0D0D" w:themeColor="text1" w:themeTint="F2"/>
          <w:szCs w:val="24"/>
        </w:rPr>
      </w:pPr>
      <w:r w:rsidRPr="00805B98">
        <w:rPr>
          <w:rFonts w:eastAsia="Bliss 2 Regular" w:cs="Arial"/>
          <w:bCs/>
          <w:color w:val="0D0D0D" w:themeColor="text1" w:themeTint="F2"/>
          <w:szCs w:val="24"/>
        </w:rPr>
        <w:t xml:space="preserve">A local authority in England or Wales (as defined in section 23 of the 2003 Act) or a similar body in Scotland or Northern </w:t>
      </w:r>
      <w:proofErr w:type="gramStart"/>
      <w:r w:rsidRPr="00805B98">
        <w:rPr>
          <w:rFonts w:eastAsia="Bliss 2 Regular" w:cs="Arial"/>
          <w:bCs/>
          <w:color w:val="0D0D0D" w:themeColor="text1" w:themeTint="F2"/>
          <w:szCs w:val="24"/>
        </w:rPr>
        <w:t>Ireland;</w:t>
      </w:r>
      <w:proofErr w:type="gramEnd"/>
      <w:r w:rsidRPr="00805B98">
        <w:rPr>
          <w:rFonts w:eastAsia="Bliss 2 Regular" w:cs="Arial"/>
          <w:bCs/>
          <w:color w:val="0D0D0D" w:themeColor="text1" w:themeTint="F2"/>
          <w:szCs w:val="24"/>
        </w:rPr>
        <w:t xml:space="preserve"> </w:t>
      </w:r>
    </w:p>
    <w:p w14:paraId="03D30731" w14:textId="77777777" w:rsidR="005F53F9" w:rsidRPr="00805B98" w:rsidRDefault="005F53F9" w:rsidP="0064287C">
      <w:pPr>
        <w:pStyle w:val="ListParagraph"/>
        <w:numPr>
          <w:ilvl w:val="1"/>
          <w:numId w:val="25"/>
        </w:numPr>
        <w:jc w:val="both"/>
        <w:rPr>
          <w:rFonts w:eastAsia="Bliss 2 Regular" w:cs="Arial"/>
          <w:bCs/>
          <w:color w:val="0D0D0D" w:themeColor="text1" w:themeTint="F2"/>
          <w:szCs w:val="24"/>
        </w:rPr>
      </w:pPr>
      <w:r w:rsidRPr="00805B98">
        <w:rPr>
          <w:rFonts w:eastAsia="Bliss 2 Regular" w:cs="Arial"/>
          <w:bCs/>
          <w:color w:val="0D0D0D" w:themeColor="text1" w:themeTint="F2"/>
          <w:szCs w:val="24"/>
        </w:rPr>
        <w:t xml:space="preserve">A parish council or community council. </w:t>
      </w:r>
    </w:p>
    <w:p w14:paraId="51C795E7" w14:textId="77777777" w:rsidR="005F53F9" w:rsidRPr="00805B98" w:rsidRDefault="005F53F9" w:rsidP="005F53F9">
      <w:pPr>
        <w:jc w:val="both"/>
        <w:rPr>
          <w:rFonts w:eastAsia="Bliss 2 Regular" w:cs="Arial"/>
          <w:bCs/>
          <w:color w:val="0D0D0D" w:themeColor="text1" w:themeTint="F2"/>
          <w:szCs w:val="24"/>
        </w:rPr>
      </w:pPr>
    </w:p>
    <w:p w14:paraId="70CE941C" w14:textId="77777777" w:rsidR="005F53F9" w:rsidRPr="00805B98" w:rsidRDefault="005F53F9" w:rsidP="005F53F9">
      <w:pPr>
        <w:jc w:val="both"/>
        <w:rPr>
          <w:rFonts w:eastAsia="Bliss 2 Regular" w:cs="Arial"/>
          <w:bCs/>
          <w:color w:val="0D0D0D" w:themeColor="text1" w:themeTint="F2"/>
          <w:szCs w:val="24"/>
        </w:rPr>
      </w:pPr>
      <w:r w:rsidRPr="00805B98">
        <w:rPr>
          <w:rFonts w:eastAsia="Bliss 2 Regular" w:cs="Arial"/>
          <w:bCs/>
          <w:color w:val="0D0D0D" w:themeColor="text1" w:themeTint="F2"/>
          <w:szCs w:val="24"/>
        </w:rPr>
        <w:t xml:space="preserve">The Authority as part of its treasury strategy defines what it believes constitutes high credit quality.  </w:t>
      </w:r>
    </w:p>
    <w:p w14:paraId="4014E42B" w14:textId="77777777" w:rsidR="005F53F9" w:rsidRPr="00805B98" w:rsidRDefault="005F53F9" w:rsidP="005F53F9">
      <w:pPr>
        <w:jc w:val="both"/>
        <w:rPr>
          <w:rFonts w:eastAsia="Bliss 2 Regular" w:cs="Arial"/>
          <w:bCs/>
          <w:color w:val="0D0D0D" w:themeColor="text1" w:themeTint="F2"/>
          <w:szCs w:val="24"/>
        </w:rPr>
      </w:pPr>
    </w:p>
    <w:p w14:paraId="7C8211F8" w14:textId="77777777" w:rsidR="005F53F9" w:rsidRPr="00805B98" w:rsidRDefault="005F53F9" w:rsidP="005F53F9">
      <w:pPr>
        <w:jc w:val="both"/>
        <w:rPr>
          <w:rFonts w:eastAsia="Bliss 2 Regular" w:cs="Arial"/>
          <w:bCs/>
          <w:color w:val="0D0D0D" w:themeColor="text1" w:themeTint="F2"/>
          <w:szCs w:val="24"/>
        </w:rPr>
      </w:pPr>
      <w:r w:rsidRPr="00805B98">
        <w:rPr>
          <w:rFonts w:eastAsia="Bliss 2 Regular" w:cs="Arial"/>
          <w:bCs/>
          <w:color w:val="0D0D0D" w:themeColor="text1" w:themeTint="F2"/>
          <w:szCs w:val="24"/>
        </w:rPr>
        <w:t>For the purposes of this strategy the Authority determines high credit quality to be any investment up to 365 days meeting the requirements of the table above in accordance with the Link Group Creditworthiness Methodology.</w:t>
      </w:r>
    </w:p>
    <w:p w14:paraId="24F85AD2" w14:textId="77777777" w:rsidR="005F53F9" w:rsidRPr="00805B98" w:rsidRDefault="005F53F9" w:rsidP="005F53F9">
      <w:pPr>
        <w:jc w:val="both"/>
        <w:rPr>
          <w:rFonts w:eastAsia="Bliss 2 Regular" w:cs="Arial"/>
          <w:b/>
          <w:color w:val="0D0D0D" w:themeColor="text1" w:themeTint="F2"/>
          <w:szCs w:val="24"/>
        </w:rPr>
      </w:pPr>
    </w:p>
    <w:p w14:paraId="66C0EA5A" w14:textId="77777777" w:rsidR="005F53F9" w:rsidRPr="00805B98" w:rsidRDefault="005F53F9" w:rsidP="005F53F9">
      <w:pPr>
        <w:jc w:val="both"/>
        <w:rPr>
          <w:rFonts w:eastAsia="Bliss 2 Regular" w:cs="Arial"/>
          <w:b/>
          <w:color w:val="0D0D0D" w:themeColor="text1" w:themeTint="F2"/>
          <w:szCs w:val="24"/>
        </w:rPr>
      </w:pPr>
      <w:proofErr w:type="gramStart"/>
      <w:r w:rsidRPr="00805B98">
        <w:rPr>
          <w:rFonts w:eastAsia="Bliss 2 Regular" w:cs="Arial"/>
          <w:b/>
          <w:color w:val="0D0D0D" w:themeColor="text1" w:themeTint="F2"/>
          <w:szCs w:val="24"/>
        </w:rPr>
        <w:t>Non Specified</w:t>
      </w:r>
      <w:proofErr w:type="gramEnd"/>
      <w:r w:rsidRPr="00805B98">
        <w:rPr>
          <w:rFonts w:eastAsia="Bliss 2 Regular" w:cs="Arial"/>
          <w:b/>
          <w:color w:val="0D0D0D" w:themeColor="text1" w:themeTint="F2"/>
          <w:szCs w:val="24"/>
        </w:rPr>
        <w:t xml:space="preserve"> Investments</w:t>
      </w:r>
    </w:p>
    <w:p w14:paraId="11EB6427" w14:textId="77777777" w:rsidR="005F53F9" w:rsidRPr="00805B98" w:rsidRDefault="005F53F9" w:rsidP="005F53F9">
      <w:pPr>
        <w:jc w:val="both"/>
        <w:rPr>
          <w:rFonts w:eastAsia="Bliss 2 Regular" w:cs="Arial"/>
          <w:bCs/>
          <w:color w:val="0D0D0D" w:themeColor="text1" w:themeTint="F2"/>
          <w:szCs w:val="24"/>
        </w:rPr>
      </w:pPr>
      <w:r w:rsidRPr="00805B98">
        <w:rPr>
          <w:rFonts w:eastAsia="Bliss 2 Regular" w:cs="Arial"/>
          <w:bCs/>
          <w:color w:val="0D0D0D" w:themeColor="text1" w:themeTint="F2"/>
          <w:szCs w:val="24"/>
        </w:rPr>
        <w:t xml:space="preserve">The MHCLG Investment Guidance defines a </w:t>
      </w:r>
      <w:proofErr w:type="spellStart"/>
      <w:r w:rsidRPr="00805B98">
        <w:rPr>
          <w:rFonts w:eastAsia="Bliss 2 Regular" w:cs="Arial"/>
          <w:bCs/>
          <w:color w:val="0D0D0D" w:themeColor="text1" w:themeTint="F2"/>
          <w:szCs w:val="24"/>
        </w:rPr>
        <w:t>non specified</w:t>
      </w:r>
      <w:proofErr w:type="spellEnd"/>
      <w:r w:rsidRPr="00805B98">
        <w:rPr>
          <w:rFonts w:eastAsia="Bliss 2 Regular" w:cs="Arial"/>
          <w:bCs/>
          <w:color w:val="0D0D0D" w:themeColor="text1" w:themeTint="F2"/>
          <w:szCs w:val="24"/>
        </w:rPr>
        <w:t xml:space="preserve"> investment as any financial investment that is not classified as a loan or a specified investment.  </w:t>
      </w:r>
    </w:p>
    <w:p w14:paraId="0E6DDD66" w14:textId="77777777" w:rsidR="005F53F9" w:rsidRPr="00805B98" w:rsidRDefault="005F53F9" w:rsidP="005F53F9">
      <w:pPr>
        <w:jc w:val="both"/>
        <w:rPr>
          <w:rFonts w:eastAsia="Bliss 2 Regular" w:cs="Arial"/>
          <w:bCs/>
          <w:color w:val="0D0D0D" w:themeColor="text1" w:themeTint="F2"/>
          <w:szCs w:val="24"/>
        </w:rPr>
      </w:pPr>
    </w:p>
    <w:p w14:paraId="27D3527F" w14:textId="77777777" w:rsidR="005F53F9" w:rsidRPr="00805B98" w:rsidRDefault="005F53F9" w:rsidP="005F53F9">
      <w:pPr>
        <w:jc w:val="both"/>
        <w:rPr>
          <w:rFonts w:eastAsia="Bliss 2 Regular" w:cs="Arial"/>
          <w:bCs/>
          <w:color w:val="0D0D0D" w:themeColor="text1" w:themeTint="F2"/>
          <w:szCs w:val="24"/>
        </w:rPr>
      </w:pPr>
      <w:r w:rsidRPr="00805B98">
        <w:rPr>
          <w:rFonts w:eastAsia="Bliss 2 Regular" w:cs="Arial"/>
          <w:bCs/>
          <w:color w:val="0D0D0D" w:themeColor="text1" w:themeTint="F2"/>
          <w:szCs w:val="24"/>
        </w:rPr>
        <w:t xml:space="preserve">The Authority does not intent to make investments outside of the counterparty criteria contained in the table above.  Therefore, it will only undertake non specified investments if it makes long term investments over 365 days within the above parameters with regards counterparty limits and investment duration.  </w:t>
      </w:r>
      <w:r w:rsidRPr="00805B98">
        <w:rPr>
          <w:rFonts w:eastAsia="Bliss 2 Regular" w:cs="Arial"/>
          <w:bCs/>
          <w:color w:val="0D0D0D" w:themeColor="text1" w:themeTint="F2"/>
          <w:szCs w:val="24"/>
        </w:rPr>
        <w:lastRenderedPageBreak/>
        <w:t xml:space="preserve">This would be subject to cashflow forecast illustrating the Authority had sufficient funds available to </w:t>
      </w:r>
      <w:proofErr w:type="gramStart"/>
      <w:r w:rsidRPr="00805B98">
        <w:rPr>
          <w:rFonts w:eastAsia="Bliss 2 Regular" w:cs="Arial"/>
          <w:bCs/>
          <w:color w:val="0D0D0D" w:themeColor="text1" w:themeTint="F2"/>
          <w:szCs w:val="24"/>
        </w:rPr>
        <w:t>enter into</w:t>
      </w:r>
      <w:proofErr w:type="gramEnd"/>
      <w:r w:rsidRPr="00805B98">
        <w:rPr>
          <w:rFonts w:eastAsia="Bliss 2 Regular" w:cs="Arial"/>
          <w:bCs/>
          <w:color w:val="0D0D0D" w:themeColor="text1" w:themeTint="F2"/>
          <w:szCs w:val="24"/>
        </w:rPr>
        <w:t xml:space="preserve"> long term investments. </w:t>
      </w:r>
    </w:p>
    <w:p w14:paraId="71108DB4" w14:textId="77777777" w:rsidR="005F53F9" w:rsidRPr="00805B98" w:rsidRDefault="005F53F9" w:rsidP="005F53F9">
      <w:pPr>
        <w:jc w:val="both"/>
        <w:rPr>
          <w:rFonts w:eastAsia="Bliss 2 Regular" w:cs="Arial"/>
          <w:bCs/>
          <w:color w:val="0D0D0D" w:themeColor="text1" w:themeTint="F2"/>
          <w:szCs w:val="24"/>
        </w:rPr>
      </w:pPr>
    </w:p>
    <w:p w14:paraId="23191BBE" w14:textId="77777777" w:rsidR="005F53F9" w:rsidRPr="00805B98" w:rsidRDefault="005F53F9" w:rsidP="005F53F9">
      <w:pPr>
        <w:jc w:val="both"/>
        <w:rPr>
          <w:rFonts w:eastAsia="Bliss 2 Regular" w:cs="Arial"/>
          <w:b/>
          <w:color w:val="0D0D0D" w:themeColor="text1" w:themeTint="F2"/>
          <w:szCs w:val="24"/>
        </w:rPr>
      </w:pPr>
      <w:r w:rsidRPr="00805B98">
        <w:rPr>
          <w:rFonts w:eastAsia="Bliss 2 Regular" w:cs="Arial"/>
          <w:b/>
          <w:color w:val="0D0D0D" w:themeColor="text1" w:themeTint="F2"/>
          <w:szCs w:val="24"/>
        </w:rPr>
        <w:t xml:space="preserve">Loan </w:t>
      </w:r>
    </w:p>
    <w:p w14:paraId="154A0A7D" w14:textId="77777777" w:rsidR="005F53F9" w:rsidRPr="00805B98" w:rsidRDefault="005F53F9" w:rsidP="005F53F9">
      <w:pPr>
        <w:jc w:val="both"/>
        <w:rPr>
          <w:rFonts w:eastAsia="Bliss 2 Regular" w:cs="Arial"/>
          <w:bCs/>
          <w:color w:val="0D0D0D" w:themeColor="text1" w:themeTint="F2"/>
          <w:szCs w:val="24"/>
        </w:rPr>
      </w:pPr>
      <w:r w:rsidRPr="00805B98">
        <w:rPr>
          <w:rFonts w:eastAsia="Bliss 2 Regular" w:cs="Arial"/>
          <w:bCs/>
          <w:color w:val="0D0D0D" w:themeColor="text1" w:themeTint="F2"/>
          <w:szCs w:val="24"/>
        </w:rPr>
        <w:t xml:space="preserve">The MHCLG Investment Guidance defines this as a loan that an Authority has elected to make to local enterprises, local charities, wholly owned </w:t>
      </w:r>
      <w:proofErr w:type="gramStart"/>
      <w:r w:rsidRPr="00805B98">
        <w:rPr>
          <w:rFonts w:eastAsia="Bliss 2 Regular" w:cs="Arial"/>
          <w:bCs/>
          <w:color w:val="0D0D0D" w:themeColor="text1" w:themeTint="F2"/>
          <w:szCs w:val="24"/>
        </w:rPr>
        <w:t>companies</w:t>
      </w:r>
      <w:proofErr w:type="gramEnd"/>
      <w:r w:rsidRPr="00805B98">
        <w:rPr>
          <w:rFonts w:eastAsia="Bliss 2 Regular" w:cs="Arial"/>
          <w:bCs/>
          <w:color w:val="0D0D0D" w:themeColor="text1" w:themeTint="F2"/>
          <w:szCs w:val="24"/>
        </w:rPr>
        <w:t xml:space="preserve"> and joint ventures as part of a wider strategy for local economic growth even though those loans may not all be seen as prudent if adopting a narrow definition of prioritising security and liquidity.</w:t>
      </w:r>
    </w:p>
    <w:p w14:paraId="5481154E" w14:textId="77777777" w:rsidR="005F53F9" w:rsidRPr="00805B98" w:rsidRDefault="005F53F9" w:rsidP="005F53F9">
      <w:pPr>
        <w:jc w:val="both"/>
        <w:rPr>
          <w:rFonts w:eastAsia="Bliss 2 Regular" w:cs="Arial"/>
          <w:bCs/>
          <w:color w:val="0D0D0D" w:themeColor="text1" w:themeTint="F2"/>
          <w:szCs w:val="24"/>
        </w:rPr>
      </w:pPr>
    </w:p>
    <w:p w14:paraId="771B3E81" w14:textId="77777777" w:rsidR="005F53F9" w:rsidRPr="00805B98" w:rsidRDefault="005F53F9" w:rsidP="005F53F9">
      <w:pPr>
        <w:jc w:val="both"/>
        <w:rPr>
          <w:rFonts w:eastAsia="Bliss 2 Regular" w:cs="Arial"/>
          <w:bCs/>
          <w:color w:val="0D0D0D" w:themeColor="text1" w:themeTint="F2"/>
          <w:szCs w:val="24"/>
        </w:rPr>
      </w:pPr>
      <w:r w:rsidRPr="00805B98">
        <w:rPr>
          <w:rFonts w:eastAsia="Bliss 2 Regular" w:cs="Arial"/>
          <w:bCs/>
          <w:color w:val="0D0D0D" w:themeColor="text1" w:themeTint="F2"/>
          <w:szCs w:val="24"/>
        </w:rPr>
        <w:t xml:space="preserve">The Authority will undertake specific due diligence in respect of any loans to third parties in support of Council objectives prior to any decision on a loan being made. </w:t>
      </w:r>
    </w:p>
    <w:p w14:paraId="61C3432B" w14:textId="1AF4AA2E" w:rsidR="00D10088" w:rsidRDefault="00D10088" w:rsidP="00DF27CE">
      <w:pPr>
        <w:rPr>
          <w:rFonts w:cs="Arial"/>
          <w:b/>
          <w:noProof/>
          <w:sz w:val="32"/>
          <w:szCs w:val="32"/>
        </w:rPr>
      </w:pPr>
    </w:p>
    <w:p w14:paraId="3ED6DCCA" w14:textId="77777777" w:rsidR="00D10088" w:rsidRDefault="00D10088" w:rsidP="00DF27CE">
      <w:pPr>
        <w:rPr>
          <w:rFonts w:cs="Arial"/>
          <w:b/>
          <w:noProof/>
          <w:sz w:val="32"/>
          <w:szCs w:val="32"/>
        </w:rPr>
      </w:pPr>
    </w:p>
    <w:p w14:paraId="5F41F389" w14:textId="654B25C9" w:rsidR="00DF27CE" w:rsidRDefault="00DF27CE" w:rsidP="00DF27CE">
      <w:pPr>
        <w:rPr>
          <w:rFonts w:cs="Arial"/>
          <w:b/>
          <w:noProof/>
          <w:sz w:val="32"/>
          <w:szCs w:val="32"/>
        </w:rPr>
      </w:pPr>
    </w:p>
    <w:p w14:paraId="0EF57075" w14:textId="1AF7FF51" w:rsidR="005F53F9" w:rsidRDefault="005F53F9" w:rsidP="00DF27CE">
      <w:pPr>
        <w:rPr>
          <w:rFonts w:cs="Arial"/>
          <w:b/>
          <w:noProof/>
          <w:sz w:val="32"/>
          <w:szCs w:val="32"/>
        </w:rPr>
      </w:pPr>
    </w:p>
    <w:p w14:paraId="370A8405" w14:textId="29777322" w:rsidR="00805B98" w:rsidRDefault="00805B98" w:rsidP="00DF27CE">
      <w:pPr>
        <w:rPr>
          <w:rFonts w:cs="Arial"/>
          <w:b/>
          <w:noProof/>
          <w:sz w:val="32"/>
          <w:szCs w:val="32"/>
        </w:rPr>
      </w:pPr>
    </w:p>
    <w:p w14:paraId="6688A57B" w14:textId="2341607D" w:rsidR="00805B98" w:rsidRDefault="00805B98" w:rsidP="00DF27CE">
      <w:pPr>
        <w:rPr>
          <w:rFonts w:cs="Arial"/>
          <w:b/>
          <w:noProof/>
          <w:sz w:val="32"/>
          <w:szCs w:val="32"/>
        </w:rPr>
      </w:pPr>
    </w:p>
    <w:p w14:paraId="1E1F581B" w14:textId="3383BC3B" w:rsidR="00805B98" w:rsidRDefault="00805B98" w:rsidP="00DF27CE">
      <w:pPr>
        <w:rPr>
          <w:rFonts w:cs="Arial"/>
          <w:b/>
          <w:noProof/>
          <w:sz w:val="32"/>
          <w:szCs w:val="32"/>
        </w:rPr>
      </w:pPr>
    </w:p>
    <w:p w14:paraId="5FD8F4A7" w14:textId="212EA6FA" w:rsidR="00805B98" w:rsidRDefault="00805B98" w:rsidP="00DF27CE">
      <w:pPr>
        <w:rPr>
          <w:rFonts w:cs="Arial"/>
          <w:b/>
          <w:noProof/>
          <w:sz w:val="32"/>
          <w:szCs w:val="32"/>
        </w:rPr>
      </w:pPr>
    </w:p>
    <w:p w14:paraId="15C88569" w14:textId="48B2D6A6" w:rsidR="00805B98" w:rsidRDefault="00805B98" w:rsidP="00DF27CE">
      <w:pPr>
        <w:rPr>
          <w:rFonts w:cs="Arial"/>
          <w:b/>
          <w:noProof/>
          <w:sz w:val="32"/>
          <w:szCs w:val="32"/>
        </w:rPr>
      </w:pPr>
    </w:p>
    <w:p w14:paraId="0FE17F6A" w14:textId="58E1C891" w:rsidR="00805B98" w:rsidRDefault="00805B98" w:rsidP="00DF27CE">
      <w:pPr>
        <w:rPr>
          <w:rFonts w:cs="Arial"/>
          <w:b/>
          <w:noProof/>
          <w:sz w:val="32"/>
          <w:szCs w:val="32"/>
        </w:rPr>
      </w:pPr>
    </w:p>
    <w:p w14:paraId="68D85251" w14:textId="4DDADFFE" w:rsidR="00805B98" w:rsidRDefault="00805B98" w:rsidP="00DF27CE">
      <w:pPr>
        <w:rPr>
          <w:rFonts w:cs="Arial"/>
          <w:b/>
          <w:noProof/>
          <w:sz w:val="32"/>
          <w:szCs w:val="32"/>
        </w:rPr>
      </w:pPr>
    </w:p>
    <w:p w14:paraId="60CFE2B2" w14:textId="2238B52F" w:rsidR="00805B98" w:rsidRDefault="00805B98" w:rsidP="00DF27CE">
      <w:pPr>
        <w:rPr>
          <w:rFonts w:cs="Arial"/>
          <w:b/>
          <w:noProof/>
          <w:sz w:val="32"/>
          <w:szCs w:val="32"/>
        </w:rPr>
      </w:pPr>
    </w:p>
    <w:p w14:paraId="748BA2D7" w14:textId="2BF2F8FC" w:rsidR="00805B98" w:rsidRDefault="00805B98" w:rsidP="00DF27CE">
      <w:pPr>
        <w:rPr>
          <w:rFonts w:cs="Arial"/>
          <w:b/>
          <w:noProof/>
          <w:sz w:val="32"/>
          <w:szCs w:val="32"/>
        </w:rPr>
      </w:pPr>
    </w:p>
    <w:p w14:paraId="23469E29" w14:textId="672E50BA" w:rsidR="00805B98" w:rsidRDefault="00805B98" w:rsidP="00DF27CE">
      <w:pPr>
        <w:rPr>
          <w:rFonts w:cs="Arial"/>
          <w:b/>
          <w:noProof/>
          <w:sz w:val="32"/>
          <w:szCs w:val="32"/>
        </w:rPr>
      </w:pPr>
    </w:p>
    <w:p w14:paraId="76DBD47F" w14:textId="6A73FFAD" w:rsidR="00805B98" w:rsidRDefault="00805B98" w:rsidP="00DF27CE">
      <w:pPr>
        <w:rPr>
          <w:rFonts w:cs="Arial"/>
          <w:b/>
          <w:noProof/>
          <w:sz w:val="32"/>
          <w:szCs w:val="32"/>
        </w:rPr>
      </w:pPr>
    </w:p>
    <w:p w14:paraId="7F246D48" w14:textId="33815067" w:rsidR="00805B98" w:rsidRDefault="00805B98" w:rsidP="00DF27CE">
      <w:pPr>
        <w:rPr>
          <w:rFonts w:cs="Arial"/>
          <w:b/>
          <w:noProof/>
          <w:sz w:val="32"/>
          <w:szCs w:val="32"/>
        </w:rPr>
      </w:pPr>
    </w:p>
    <w:p w14:paraId="02F652F8" w14:textId="3ED99583" w:rsidR="00805B98" w:rsidRDefault="00805B98" w:rsidP="00DF27CE">
      <w:pPr>
        <w:rPr>
          <w:rFonts w:cs="Arial"/>
          <w:b/>
          <w:noProof/>
          <w:sz w:val="32"/>
          <w:szCs w:val="32"/>
        </w:rPr>
      </w:pPr>
    </w:p>
    <w:p w14:paraId="3C499CE2" w14:textId="6F144FDB" w:rsidR="00805B98" w:rsidRDefault="00805B98" w:rsidP="00DF27CE">
      <w:pPr>
        <w:rPr>
          <w:rFonts w:cs="Arial"/>
          <w:b/>
          <w:noProof/>
          <w:sz w:val="32"/>
          <w:szCs w:val="32"/>
        </w:rPr>
      </w:pPr>
    </w:p>
    <w:p w14:paraId="794888E1" w14:textId="6EB8178C" w:rsidR="00805B98" w:rsidRDefault="00805B98" w:rsidP="00DF27CE">
      <w:pPr>
        <w:rPr>
          <w:rFonts w:cs="Arial"/>
          <w:b/>
          <w:noProof/>
          <w:sz w:val="32"/>
          <w:szCs w:val="32"/>
        </w:rPr>
      </w:pPr>
    </w:p>
    <w:p w14:paraId="276C40C9" w14:textId="7EFE1A49" w:rsidR="00805B98" w:rsidRDefault="00805B98" w:rsidP="00DF27CE">
      <w:pPr>
        <w:rPr>
          <w:rFonts w:cs="Arial"/>
          <w:b/>
          <w:noProof/>
          <w:sz w:val="32"/>
          <w:szCs w:val="32"/>
        </w:rPr>
      </w:pPr>
    </w:p>
    <w:p w14:paraId="7543565B" w14:textId="3354DA5E" w:rsidR="00805B98" w:rsidRDefault="00805B98" w:rsidP="00DF27CE">
      <w:pPr>
        <w:rPr>
          <w:rFonts w:cs="Arial"/>
          <w:b/>
          <w:noProof/>
          <w:sz w:val="32"/>
          <w:szCs w:val="32"/>
        </w:rPr>
      </w:pPr>
    </w:p>
    <w:p w14:paraId="594A24FC" w14:textId="0C79B36A" w:rsidR="00805B98" w:rsidRDefault="00805B98" w:rsidP="00DF27CE">
      <w:pPr>
        <w:rPr>
          <w:rFonts w:cs="Arial"/>
          <w:b/>
          <w:noProof/>
          <w:sz w:val="32"/>
          <w:szCs w:val="32"/>
        </w:rPr>
      </w:pPr>
    </w:p>
    <w:p w14:paraId="33E49125" w14:textId="62A115A7" w:rsidR="00805B98" w:rsidRDefault="00805B98" w:rsidP="00DF27CE">
      <w:pPr>
        <w:rPr>
          <w:rFonts w:cs="Arial"/>
          <w:b/>
          <w:noProof/>
          <w:sz w:val="32"/>
          <w:szCs w:val="32"/>
        </w:rPr>
      </w:pPr>
    </w:p>
    <w:p w14:paraId="58C88002" w14:textId="1EE3AC7D" w:rsidR="00805B98" w:rsidRDefault="00805B98" w:rsidP="00DF27CE">
      <w:pPr>
        <w:rPr>
          <w:rFonts w:cs="Arial"/>
          <w:b/>
          <w:noProof/>
          <w:sz w:val="32"/>
          <w:szCs w:val="32"/>
        </w:rPr>
      </w:pPr>
    </w:p>
    <w:p w14:paraId="1F5CF022" w14:textId="4B750F15" w:rsidR="00805B98" w:rsidRDefault="00805B98" w:rsidP="00DF27CE">
      <w:pPr>
        <w:rPr>
          <w:rFonts w:cs="Arial"/>
          <w:b/>
          <w:noProof/>
          <w:sz w:val="32"/>
          <w:szCs w:val="32"/>
        </w:rPr>
      </w:pPr>
    </w:p>
    <w:p w14:paraId="64D08473" w14:textId="2578076E" w:rsidR="00805B98" w:rsidRDefault="00805B98" w:rsidP="00DF27CE">
      <w:pPr>
        <w:rPr>
          <w:rFonts w:cs="Arial"/>
          <w:b/>
          <w:noProof/>
          <w:sz w:val="32"/>
          <w:szCs w:val="32"/>
        </w:rPr>
      </w:pPr>
    </w:p>
    <w:p w14:paraId="08C1D650" w14:textId="0F477C41" w:rsidR="00805B98" w:rsidRDefault="00805B98" w:rsidP="00DF27CE">
      <w:pPr>
        <w:rPr>
          <w:rFonts w:cs="Arial"/>
          <w:b/>
          <w:noProof/>
          <w:sz w:val="32"/>
          <w:szCs w:val="32"/>
        </w:rPr>
      </w:pPr>
    </w:p>
    <w:p w14:paraId="44767E23" w14:textId="10D1EB38" w:rsidR="00805B98" w:rsidRDefault="00805B98" w:rsidP="00DF27CE">
      <w:pPr>
        <w:rPr>
          <w:rFonts w:cs="Arial"/>
          <w:b/>
          <w:noProof/>
          <w:sz w:val="32"/>
          <w:szCs w:val="32"/>
        </w:rPr>
      </w:pPr>
    </w:p>
    <w:p w14:paraId="60398966" w14:textId="1A5907E4" w:rsidR="00805B98" w:rsidRDefault="00805B98" w:rsidP="00DF27CE">
      <w:pPr>
        <w:rPr>
          <w:rFonts w:cs="Arial"/>
          <w:b/>
          <w:noProof/>
          <w:sz w:val="32"/>
          <w:szCs w:val="32"/>
        </w:rPr>
      </w:pPr>
    </w:p>
    <w:p w14:paraId="042BA0FC" w14:textId="77777777" w:rsidR="00C840C9" w:rsidRPr="00592915" w:rsidRDefault="00C840C9" w:rsidP="00C840C9">
      <w:pPr>
        <w:ind w:left="720"/>
        <w:jc w:val="right"/>
        <w:rPr>
          <w:b/>
          <w:sz w:val="32"/>
          <w:szCs w:val="32"/>
        </w:rPr>
      </w:pPr>
      <w:bookmarkStart w:id="35" w:name="_Hlk156937554"/>
      <w:bookmarkEnd w:id="35"/>
      <w:r w:rsidRPr="00592915">
        <w:rPr>
          <w:b/>
          <w:sz w:val="32"/>
          <w:szCs w:val="32"/>
        </w:rPr>
        <w:lastRenderedPageBreak/>
        <w:t>APPENDIX G</w:t>
      </w:r>
    </w:p>
    <w:p w14:paraId="18CB838B" w14:textId="77777777" w:rsidR="00C840C9" w:rsidRPr="00592915" w:rsidRDefault="00C840C9" w:rsidP="00C840C9">
      <w:pPr>
        <w:rPr>
          <w:rFonts w:cs="Arial"/>
          <w:b/>
          <w:bCs/>
          <w:sz w:val="28"/>
          <w:szCs w:val="28"/>
        </w:rPr>
      </w:pPr>
      <w:r w:rsidRPr="00592915">
        <w:rPr>
          <w:rFonts w:cs="Arial"/>
          <w:b/>
          <w:bCs/>
          <w:sz w:val="28"/>
          <w:szCs w:val="28"/>
        </w:rPr>
        <w:t>Capital Strategy 202</w:t>
      </w:r>
      <w:r>
        <w:rPr>
          <w:rFonts w:cs="Arial"/>
          <w:b/>
          <w:bCs/>
          <w:sz w:val="28"/>
          <w:szCs w:val="28"/>
        </w:rPr>
        <w:t>4-25</w:t>
      </w:r>
    </w:p>
    <w:p w14:paraId="5282347A" w14:textId="77777777" w:rsidR="00C840C9" w:rsidRPr="00592915" w:rsidRDefault="00C840C9" w:rsidP="00C840C9">
      <w:pPr>
        <w:jc w:val="both"/>
        <w:rPr>
          <w:rFonts w:cs="Arial"/>
          <w:b/>
          <w:bCs/>
        </w:rPr>
      </w:pPr>
    </w:p>
    <w:p w14:paraId="68240303" w14:textId="77777777" w:rsidR="00C840C9" w:rsidRPr="00592915" w:rsidRDefault="00C840C9" w:rsidP="00C840C9">
      <w:pPr>
        <w:jc w:val="both"/>
        <w:rPr>
          <w:rFonts w:cs="Arial"/>
        </w:rPr>
      </w:pPr>
      <w:r w:rsidRPr="00592915">
        <w:rPr>
          <w:rFonts w:cs="Arial"/>
          <w:b/>
          <w:bCs/>
        </w:rPr>
        <w:t xml:space="preserve">Contents </w:t>
      </w:r>
    </w:p>
    <w:p w14:paraId="489469FF" w14:textId="77777777" w:rsidR="00C840C9" w:rsidRPr="00592915" w:rsidRDefault="00C840C9" w:rsidP="00C840C9">
      <w:pPr>
        <w:jc w:val="both"/>
        <w:rPr>
          <w:rFonts w:cs="Arial"/>
          <w:b/>
          <w:bCs/>
        </w:rPr>
      </w:pPr>
    </w:p>
    <w:p w14:paraId="00B348A9" w14:textId="77777777" w:rsidR="00C840C9" w:rsidRPr="00592915" w:rsidRDefault="00C840C9" w:rsidP="00C840C9">
      <w:pPr>
        <w:jc w:val="both"/>
        <w:rPr>
          <w:rFonts w:cs="Arial"/>
          <w:b/>
          <w:bCs/>
        </w:rPr>
      </w:pPr>
      <w:r w:rsidRPr="00592915">
        <w:rPr>
          <w:rFonts w:cs="Arial"/>
          <w:b/>
          <w:bCs/>
        </w:rPr>
        <w:t>Section 1 – Principles of the Capital Strategy</w:t>
      </w:r>
    </w:p>
    <w:p w14:paraId="78F739E2" w14:textId="77777777" w:rsidR="00C840C9" w:rsidRPr="00592915" w:rsidRDefault="00C840C9" w:rsidP="00C840C9">
      <w:pPr>
        <w:pStyle w:val="ListParagraph"/>
        <w:numPr>
          <w:ilvl w:val="0"/>
          <w:numId w:val="12"/>
        </w:numPr>
        <w:contextualSpacing/>
        <w:jc w:val="both"/>
        <w:rPr>
          <w:rFonts w:cs="Arial"/>
          <w:szCs w:val="24"/>
        </w:rPr>
      </w:pPr>
      <w:r w:rsidRPr="00592915">
        <w:rPr>
          <w:rFonts w:cs="Arial"/>
          <w:szCs w:val="24"/>
        </w:rPr>
        <w:t xml:space="preserve">Introduction </w:t>
      </w:r>
    </w:p>
    <w:p w14:paraId="3F747FAD" w14:textId="77777777" w:rsidR="00C840C9" w:rsidRPr="00592915" w:rsidRDefault="00C840C9" w:rsidP="00C840C9">
      <w:pPr>
        <w:pStyle w:val="ListParagraph"/>
        <w:numPr>
          <w:ilvl w:val="0"/>
          <w:numId w:val="12"/>
        </w:numPr>
        <w:jc w:val="both"/>
        <w:rPr>
          <w:rFonts w:cs="Arial"/>
          <w:szCs w:val="24"/>
        </w:rPr>
      </w:pPr>
      <w:r w:rsidRPr="00592915">
        <w:rPr>
          <w:rFonts w:cs="Arial"/>
          <w:szCs w:val="24"/>
        </w:rPr>
        <w:t>Objectives and Principles</w:t>
      </w:r>
    </w:p>
    <w:p w14:paraId="7352D681" w14:textId="77777777" w:rsidR="00C840C9" w:rsidRPr="00592915" w:rsidRDefault="00C840C9" w:rsidP="00C840C9">
      <w:pPr>
        <w:pStyle w:val="ListParagraph"/>
        <w:numPr>
          <w:ilvl w:val="0"/>
          <w:numId w:val="12"/>
        </w:numPr>
        <w:jc w:val="both"/>
        <w:rPr>
          <w:rFonts w:cs="Arial"/>
          <w:szCs w:val="24"/>
        </w:rPr>
      </w:pPr>
      <w:r w:rsidRPr="00592915">
        <w:rPr>
          <w:rFonts w:cs="Arial"/>
          <w:szCs w:val="24"/>
        </w:rPr>
        <w:t>Background</w:t>
      </w:r>
    </w:p>
    <w:p w14:paraId="4BFBF7B7" w14:textId="77777777" w:rsidR="00C840C9" w:rsidRPr="00592915" w:rsidRDefault="00C840C9" w:rsidP="00C840C9">
      <w:pPr>
        <w:pStyle w:val="ListParagraph"/>
        <w:numPr>
          <w:ilvl w:val="0"/>
          <w:numId w:val="12"/>
        </w:numPr>
        <w:jc w:val="both"/>
        <w:rPr>
          <w:rFonts w:cs="Arial"/>
          <w:szCs w:val="24"/>
        </w:rPr>
      </w:pPr>
      <w:r w:rsidRPr="00592915">
        <w:rPr>
          <w:rFonts w:cs="Arial"/>
          <w:szCs w:val="24"/>
        </w:rPr>
        <w:t xml:space="preserve">Capital </w:t>
      </w:r>
      <w:proofErr w:type="gramStart"/>
      <w:r w:rsidRPr="00592915">
        <w:rPr>
          <w:rFonts w:cs="Arial"/>
          <w:szCs w:val="24"/>
        </w:rPr>
        <w:t>expenditure</w:t>
      </w:r>
      <w:proofErr w:type="gramEnd"/>
      <w:r w:rsidRPr="00592915">
        <w:rPr>
          <w:rFonts w:cs="Arial"/>
          <w:szCs w:val="24"/>
        </w:rPr>
        <w:t xml:space="preserve"> </w:t>
      </w:r>
    </w:p>
    <w:p w14:paraId="1C5B1434" w14:textId="77777777" w:rsidR="00C840C9" w:rsidRPr="00592915" w:rsidRDefault="00C840C9" w:rsidP="00C840C9">
      <w:pPr>
        <w:pStyle w:val="ListParagraph"/>
        <w:numPr>
          <w:ilvl w:val="0"/>
          <w:numId w:val="12"/>
        </w:numPr>
        <w:jc w:val="both"/>
        <w:rPr>
          <w:rFonts w:cs="Arial"/>
          <w:szCs w:val="24"/>
        </w:rPr>
      </w:pPr>
      <w:r w:rsidRPr="00592915">
        <w:rPr>
          <w:rFonts w:cs="Arial"/>
          <w:szCs w:val="24"/>
        </w:rPr>
        <w:t xml:space="preserve">The link between revenue and capital </w:t>
      </w:r>
    </w:p>
    <w:p w14:paraId="6D22D7DE" w14:textId="77777777" w:rsidR="00C840C9" w:rsidRPr="00592915" w:rsidRDefault="00C840C9" w:rsidP="00C840C9">
      <w:pPr>
        <w:pStyle w:val="ListParagraph"/>
        <w:numPr>
          <w:ilvl w:val="0"/>
          <w:numId w:val="12"/>
        </w:numPr>
        <w:jc w:val="both"/>
        <w:rPr>
          <w:rFonts w:cs="Arial"/>
          <w:szCs w:val="24"/>
        </w:rPr>
      </w:pPr>
      <w:r w:rsidRPr="00592915">
        <w:rPr>
          <w:rFonts w:cs="Arial"/>
          <w:szCs w:val="24"/>
        </w:rPr>
        <w:t xml:space="preserve">The purpose of capital investment </w:t>
      </w:r>
    </w:p>
    <w:p w14:paraId="6CC05CB4" w14:textId="77777777" w:rsidR="00C840C9" w:rsidRPr="00592915" w:rsidRDefault="00C840C9" w:rsidP="00C840C9">
      <w:pPr>
        <w:pStyle w:val="ListParagraph"/>
        <w:numPr>
          <w:ilvl w:val="0"/>
          <w:numId w:val="12"/>
        </w:numPr>
        <w:jc w:val="both"/>
        <w:rPr>
          <w:rFonts w:cs="Arial"/>
          <w:szCs w:val="24"/>
        </w:rPr>
      </w:pPr>
      <w:r w:rsidRPr="00592915">
        <w:rPr>
          <w:rFonts w:cs="Arial"/>
          <w:szCs w:val="24"/>
        </w:rPr>
        <w:t>Existing capital priorities</w:t>
      </w:r>
    </w:p>
    <w:p w14:paraId="2AB14560" w14:textId="77777777" w:rsidR="00C840C9" w:rsidRPr="00592915" w:rsidRDefault="00C840C9" w:rsidP="00C840C9">
      <w:pPr>
        <w:pStyle w:val="ListParagraph"/>
        <w:numPr>
          <w:ilvl w:val="0"/>
          <w:numId w:val="12"/>
        </w:numPr>
        <w:jc w:val="both"/>
        <w:rPr>
          <w:rFonts w:cs="Arial"/>
          <w:szCs w:val="24"/>
        </w:rPr>
      </w:pPr>
      <w:r w:rsidRPr="00592915">
        <w:rPr>
          <w:rFonts w:cs="Arial"/>
          <w:szCs w:val="24"/>
        </w:rPr>
        <w:t xml:space="preserve">Use of commercial investment </w:t>
      </w:r>
    </w:p>
    <w:p w14:paraId="6DBF4193" w14:textId="77777777" w:rsidR="00C840C9" w:rsidRPr="00592915" w:rsidRDefault="00C840C9" w:rsidP="00C840C9">
      <w:pPr>
        <w:pStyle w:val="ListParagraph"/>
        <w:numPr>
          <w:ilvl w:val="0"/>
          <w:numId w:val="12"/>
        </w:numPr>
        <w:jc w:val="both"/>
        <w:rPr>
          <w:rFonts w:cs="Arial"/>
          <w:szCs w:val="24"/>
        </w:rPr>
      </w:pPr>
      <w:r w:rsidRPr="00592915">
        <w:rPr>
          <w:rFonts w:cs="Arial"/>
          <w:szCs w:val="24"/>
        </w:rPr>
        <w:t xml:space="preserve">Asset management </w:t>
      </w:r>
    </w:p>
    <w:p w14:paraId="5D438C1A" w14:textId="77777777" w:rsidR="00C840C9" w:rsidRPr="00592915" w:rsidRDefault="00C840C9" w:rsidP="00C840C9">
      <w:pPr>
        <w:pStyle w:val="ListParagraph"/>
        <w:numPr>
          <w:ilvl w:val="0"/>
          <w:numId w:val="12"/>
        </w:numPr>
        <w:jc w:val="both"/>
        <w:rPr>
          <w:rFonts w:cs="Arial"/>
          <w:szCs w:val="24"/>
        </w:rPr>
      </w:pPr>
      <w:r w:rsidRPr="00592915">
        <w:rPr>
          <w:rFonts w:cs="Arial"/>
          <w:szCs w:val="24"/>
        </w:rPr>
        <w:t xml:space="preserve">Capital </w:t>
      </w:r>
      <w:proofErr w:type="gramStart"/>
      <w:r w:rsidRPr="00592915">
        <w:rPr>
          <w:rFonts w:cs="Arial"/>
          <w:szCs w:val="24"/>
        </w:rPr>
        <w:t>disposals</w:t>
      </w:r>
      <w:proofErr w:type="gramEnd"/>
      <w:r w:rsidRPr="00592915">
        <w:rPr>
          <w:rFonts w:cs="Arial"/>
          <w:szCs w:val="24"/>
        </w:rPr>
        <w:t xml:space="preserve"> </w:t>
      </w:r>
    </w:p>
    <w:p w14:paraId="0362AA46" w14:textId="77777777" w:rsidR="00C840C9" w:rsidRPr="00592915" w:rsidRDefault="00C840C9" w:rsidP="00C840C9">
      <w:pPr>
        <w:pStyle w:val="ListParagraph"/>
        <w:numPr>
          <w:ilvl w:val="0"/>
          <w:numId w:val="12"/>
        </w:numPr>
        <w:jc w:val="both"/>
        <w:rPr>
          <w:rFonts w:cs="Arial"/>
          <w:szCs w:val="24"/>
        </w:rPr>
      </w:pPr>
      <w:r w:rsidRPr="00592915">
        <w:rPr>
          <w:rFonts w:cs="Arial"/>
          <w:szCs w:val="24"/>
        </w:rPr>
        <w:t xml:space="preserve">Multi-year capital projects </w:t>
      </w:r>
    </w:p>
    <w:p w14:paraId="7B2AF753" w14:textId="77777777" w:rsidR="00C840C9" w:rsidRPr="00592915" w:rsidRDefault="00C840C9" w:rsidP="00C840C9">
      <w:pPr>
        <w:pStyle w:val="ListParagraph"/>
        <w:numPr>
          <w:ilvl w:val="0"/>
          <w:numId w:val="12"/>
        </w:numPr>
        <w:spacing w:before="240"/>
        <w:contextualSpacing/>
        <w:jc w:val="both"/>
        <w:rPr>
          <w:rFonts w:cs="Arial"/>
          <w:szCs w:val="24"/>
        </w:rPr>
      </w:pPr>
      <w:r w:rsidRPr="00592915">
        <w:rPr>
          <w:rFonts w:cs="Arial"/>
          <w:szCs w:val="24"/>
        </w:rPr>
        <w:t xml:space="preserve">Use of capitalisation flexibilities </w:t>
      </w:r>
    </w:p>
    <w:p w14:paraId="3A5F1853" w14:textId="77777777" w:rsidR="00C840C9" w:rsidRPr="00592915" w:rsidRDefault="00C840C9" w:rsidP="00C840C9">
      <w:pPr>
        <w:jc w:val="both"/>
        <w:rPr>
          <w:rFonts w:cs="Arial"/>
          <w:b/>
          <w:bCs/>
        </w:rPr>
      </w:pPr>
      <w:r w:rsidRPr="00592915">
        <w:rPr>
          <w:rFonts w:cs="Arial"/>
          <w:b/>
          <w:bCs/>
        </w:rPr>
        <w:t xml:space="preserve">Section 2 – Selecting, Approving and Monitoring Capital Schemes </w:t>
      </w:r>
    </w:p>
    <w:p w14:paraId="6D34F4A7" w14:textId="77777777" w:rsidR="00C840C9" w:rsidRPr="00592915" w:rsidRDefault="00C840C9" w:rsidP="00C840C9">
      <w:pPr>
        <w:pStyle w:val="ListParagraph"/>
        <w:numPr>
          <w:ilvl w:val="0"/>
          <w:numId w:val="12"/>
        </w:numPr>
        <w:contextualSpacing/>
        <w:jc w:val="both"/>
        <w:rPr>
          <w:rFonts w:cs="Arial"/>
          <w:szCs w:val="24"/>
        </w:rPr>
      </w:pPr>
      <w:r w:rsidRPr="00592915">
        <w:rPr>
          <w:rFonts w:cs="Arial"/>
          <w:szCs w:val="24"/>
        </w:rPr>
        <w:t xml:space="preserve">The importance of capital appraisals </w:t>
      </w:r>
    </w:p>
    <w:p w14:paraId="239A95F8" w14:textId="77777777" w:rsidR="00C840C9" w:rsidRPr="00592915" w:rsidRDefault="00C840C9" w:rsidP="00C840C9">
      <w:pPr>
        <w:pStyle w:val="ListParagraph"/>
        <w:numPr>
          <w:ilvl w:val="0"/>
          <w:numId w:val="12"/>
        </w:numPr>
        <w:jc w:val="both"/>
        <w:rPr>
          <w:rFonts w:cs="Arial"/>
          <w:szCs w:val="24"/>
        </w:rPr>
      </w:pPr>
      <w:r w:rsidRPr="00592915">
        <w:rPr>
          <w:rFonts w:cs="Arial"/>
          <w:szCs w:val="24"/>
        </w:rPr>
        <w:t xml:space="preserve"> Information to be considered in decision </w:t>
      </w:r>
      <w:proofErr w:type="gramStart"/>
      <w:r w:rsidRPr="00592915">
        <w:rPr>
          <w:rFonts w:cs="Arial"/>
          <w:szCs w:val="24"/>
        </w:rPr>
        <w:t>making</w:t>
      </w:r>
      <w:proofErr w:type="gramEnd"/>
      <w:r w:rsidRPr="00592915">
        <w:rPr>
          <w:rFonts w:cs="Arial"/>
          <w:szCs w:val="24"/>
        </w:rPr>
        <w:t xml:space="preserve"> </w:t>
      </w:r>
    </w:p>
    <w:p w14:paraId="7C7802C3" w14:textId="77777777" w:rsidR="00C840C9" w:rsidRPr="00592915" w:rsidRDefault="00C840C9" w:rsidP="00C840C9">
      <w:pPr>
        <w:pStyle w:val="ListParagraph"/>
        <w:numPr>
          <w:ilvl w:val="0"/>
          <w:numId w:val="12"/>
        </w:numPr>
        <w:jc w:val="both"/>
        <w:rPr>
          <w:rFonts w:cs="Arial"/>
          <w:szCs w:val="24"/>
        </w:rPr>
      </w:pPr>
      <w:r w:rsidRPr="00592915">
        <w:rPr>
          <w:rFonts w:cs="Arial"/>
          <w:szCs w:val="24"/>
        </w:rPr>
        <w:t xml:space="preserve"> Governance of the capital programme </w:t>
      </w:r>
    </w:p>
    <w:p w14:paraId="230EF179" w14:textId="77777777" w:rsidR="00C840C9" w:rsidRPr="00592915" w:rsidRDefault="00C840C9" w:rsidP="00C840C9">
      <w:pPr>
        <w:pStyle w:val="ListParagraph"/>
        <w:numPr>
          <w:ilvl w:val="0"/>
          <w:numId w:val="12"/>
        </w:numPr>
        <w:jc w:val="both"/>
        <w:rPr>
          <w:rFonts w:cs="Arial"/>
          <w:szCs w:val="24"/>
        </w:rPr>
      </w:pPr>
      <w:r w:rsidRPr="00592915">
        <w:rPr>
          <w:rFonts w:cs="Arial"/>
          <w:szCs w:val="24"/>
        </w:rPr>
        <w:t xml:space="preserve"> In-year capital decisions </w:t>
      </w:r>
    </w:p>
    <w:p w14:paraId="0F526189" w14:textId="77777777" w:rsidR="00C840C9" w:rsidRPr="00592915" w:rsidRDefault="00C840C9" w:rsidP="00C840C9">
      <w:pPr>
        <w:pStyle w:val="ListParagraph"/>
        <w:numPr>
          <w:ilvl w:val="0"/>
          <w:numId w:val="12"/>
        </w:numPr>
        <w:spacing w:before="240"/>
        <w:contextualSpacing/>
        <w:jc w:val="both"/>
        <w:rPr>
          <w:rFonts w:cs="Arial"/>
          <w:szCs w:val="24"/>
        </w:rPr>
      </w:pPr>
      <w:r w:rsidRPr="00592915">
        <w:rPr>
          <w:rFonts w:cs="Arial"/>
          <w:szCs w:val="24"/>
        </w:rPr>
        <w:t xml:space="preserve"> Monitoring capital projects </w:t>
      </w:r>
    </w:p>
    <w:p w14:paraId="66748F8C" w14:textId="77777777" w:rsidR="00C840C9" w:rsidRPr="00592915" w:rsidRDefault="00C840C9" w:rsidP="00C840C9">
      <w:pPr>
        <w:jc w:val="both"/>
        <w:rPr>
          <w:rFonts w:cs="Arial"/>
          <w:b/>
          <w:bCs/>
        </w:rPr>
      </w:pPr>
      <w:r w:rsidRPr="00592915">
        <w:rPr>
          <w:rFonts w:cs="Arial"/>
          <w:b/>
          <w:bCs/>
        </w:rPr>
        <w:t xml:space="preserve">Section 3 - Financing the Capital Programme </w:t>
      </w:r>
    </w:p>
    <w:p w14:paraId="20B3D257" w14:textId="77777777" w:rsidR="00C840C9" w:rsidRPr="00592915" w:rsidRDefault="00C840C9" w:rsidP="00C840C9">
      <w:pPr>
        <w:pStyle w:val="ListParagraph"/>
        <w:numPr>
          <w:ilvl w:val="0"/>
          <w:numId w:val="12"/>
        </w:numPr>
        <w:contextualSpacing/>
        <w:jc w:val="both"/>
        <w:rPr>
          <w:rFonts w:cs="Arial"/>
          <w:szCs w:val="24"/>
        </w:rPr>
      </w:pPr>
      <w:r w:rsidRPr="00592915">
        <w:rPr>
          <w:rFonts w:cs="Arial"/>
          <w:szCs w:val="24"/>
        </w:rPr>
        <w:t xml:space="preserve">Capital </w:t>
      </w:r>
      <w:proofErr w:type="gramStart"/>
      <w:r w:rsidRPr="00592915">
        <w:rPr>
          <w:rFonts w:cs="Arial"/>
          <w:szCs w:val="24"/>
        </w:rPr>
        <w:t>funding</w:t>
      </w:r>
      <w:proofErr w:type="gramEnd"/>
      <w:r w:rsidRPr="00592915">
        <w:rPr>
          <w:rFonts w:cs="Arial"/>
          <w:szCs w:val="24"/>
        </w:rPr>
        <w:t xml:space="preserve"> </w:t>
      </w:r>
    </w:p>
    <w:p w14:paraId="2D991D56" w14:textId="77777777" w:rsidR="00C840C9" w:rsidRPr="00592915" w:rsidRDefault="00C840C9" w:rsidP="00C840C9">
      <w:pPr>
        <w:pStyle w:val="ListParagraph"/>
        <w:numPr>
          <w:ilvl w:val="0"/>
          <w:numId w:val="12"/>
        </w:numPr>
        <w:jc w:val="both"/>
        <w:rPr>
          <w:rFonts w:cs="Arial"/>
          <w:szCs w:val="24"/>
        </w:rPr>
      </w:pPr>
      <w:r w:rsidRPr="00592915">
        <w:rPr>
          <w:rFonts w:cs="Arial"/>
          <w:szCs w:val="24"/>
        </w:rPr>
        <w:t xml:space="preserve">Capital </w:t>
      </w:r>
      <w:proofErr w:type="gramStart"/>
      <w:r w:rsidRPr="00592915">
        <w:rPr>
          <w:rFonts w:cs="Arial"/>
          <w:szCs w:val="24"/>
        </w:rPr>
        <w:t>resources</w:t>
      </w:r>
      <w:proofErr w:type="gramEnd"/>
      <w:r w:rsidRPr="00592915">
        <w:rPr>
          <w:rFonts w:cs="Arial"/>
          <w:szCs w:val="24"/>
        </w:rPr>
        <w:t xml:space="preserve"> </w:t>
      </w:r>
    </w:p>
    <w:p w14:paraId="66073BE4" w14:textId="77777777" w:rsidR="00C840C9" w:rsidRPr="00592915" w:rsidRDefault="00C840C9" w:rsidP="00C840C9">
      <w:pPr>
        <w:pStyle w:val="ListParagraph"/>
        <w:numPr>
          <w:ilvl w:val="0"/>
          <w:numId w:val="12"/>
        </w:numPr>
        <w:jc w:val="both"/>
        <w:rPr>
          <w:rFonts w:cs="Arial"/>
          <w:szCs w:val="24"/>
        </w:rPr>
      </w:pPr>
      <w:r w:rsidRPr="00592915">
        <w:rPr>
          <w:rFonts w:cs="Arial"/>
          <w:szCs w:val="24"/>
        </w:rPr>
        <w:t xml:space="preserve">External funding sources </w:t>
      </w:r>
    </w:p>
    <w:p w14:paraId="3E9176E4" w14:textId="77777777" w:rsidR="00C840C9" w:rsidRPr="00592915" w:rsidRDefault="00C840C9" w:rsidP="00C840C9">
      <w:pPr>
        <w:pStyle w:val="ListParagraph"/>
        <w:numPr>
          <w:ilvl w:val="0"/>
          <w:numId w:val="12"/>
        </w:numPr>
        <w:jc w:val="both"/>
        <w:rPr>
          <w:rFonts w:cs="Arial"/>
          <w:szCs w:val="24"/>
        </w:rPr>
      </w:pPr>
      <w:r w:rsidRPr="00592915">
        <w:rPr>
          <w:rFonts w:cs="Arial"/>
          <w:szCs w:val="24"/>
        </w:rPr>
        <w:t xml:space="preserve">Policy on the use of capital funding </w:t>
      </w:r>
    </w:p>
    <w:p w14:paraId="6D8AD33B" w14:textId="77777777" w:rsidR="00C840C9" w:rsidRPr="00592915" w:rsidRDefault="00C840C9" w:rsidP="00C840C9">
      <w:pPr>
        <w:pStyle w:val="ListParagraph"/>
        <w:numPr>
          <w:ilvl w:val="0"/>
          <w:numId w:val="12"/>
        </w:numPr>
        <w:spacing w:before="240"/>
        <w:contextualSpacing/>
        <w:jc w:val="both"/>
        <w:rPr>
          <w:rFonts w:cs="Arial"/>
          <w:szCs w:val="24"/>
        </w:rPr>
      </w:pPr>
      <w:r w:rsidRPr="00592915">
        <w:rPr>
          <w:rFonts w:cs="Arial"/>
          <w:szCs w:val="24"/>
        </w:rPr>
        <w:t xml:space="preserve">Relationship between Capital Strategy and Treasury Management </w:t>
      </w:r>
    </w:p>
    <w:p w14:paraId="01D66670" w14:textId="77777777" w:rsidR="00C840C9" w:rsidRPr="00592915" w:rsidRDefault="00C840C9" w:rsidP="00C840C9">
      <w:pPr>
        <w:jc w:val="both"/>
        <w:rPr>
          <w:rFonts w:cs="Arial"/>
          <w:b/>
          <w:bCs/>
        </w:rPr>
      </w:pPr>
      <w:r w:rsidRPr="00592915">
        <w:rPr>
          <w:rFonts w:cs="Arial"/>
          <w:b/>
          <w:bCs/>
        </w:rPr>
        <w:t xml:space="preserve">Section 4 – Risk Management </w:t>
      </w:r>
    </w:p>
    <w:p w14:paraId="19248EA9" w14:textId="77777777" w:rsidR="00C840C9" w:rsidRPr="00592915" w:rsidRDefault="00C840C9" w:rsidP="00C840C9">
      <w:pPr>
        <w:pStyle w:val="ListParagraph"/>
        <w:numPr>
          <w:ilvl w:val="0"/>
          <w:numId w:val="12"/>
        </w:numPr>
        <w:contextualSpacing/>
        <w:jc w:val="both"/>
        <w:rPr>
          <w:rFonts w:cs="Arial"/>
          <w:szCs w:val="24"/>
        </w:rPr>
      </w:pPr>
      <w:r w:rsidRPr="00592915">
        <w:rPr>
          <w:rFonts w:cs="Arial"/>
          <w:szCs w:val="24"/>
        </w:rPr>
        <w:t xml:space="preserve">Embedding risk management in the capital programme </w:t>
      </w:r>
    </w:p>
    <w:p w14:paraId="2A81B72D" w14:textId="77777777" w:rsidR="00C840C9" w:rsidRPr="00592915" w:rsidRDefault="00C840C9" w:rsidP="00C840C9">
      <w:pPr>
        <w:pStyle w:val="ListParagraph"/>
        <w:numPr>
          <w:ilvl w:val="0"/>
          <w:numId w:val="12"/>
        </w:numPr>
        <w:spacing w:before="240"/>
        <w:contextualSpacing/>
        <w:jc w:val="both"/>
        <w:rPr>
          <w:rFonts w:cs="Arial"/>
          <w:szCs w:val="24"/>
        </w:rPr>
      </w:pPr>
      <w:r w:rsidRPr="00592915">
        <w:rPr>
          <w:rFonts w:cs="Arial"/>
          <w:szCs w:val="24"/>
        </w:rPr>
        <w:t xml:space="preserve">Knowledge and skills within the organisation </w:t>
      </w:r>
    </w:p>
    <w:p w14:paraId="4D5CF24B" w14:textId="77777777" w:rsidR="00C840C9" w:rsidRPr="00592915" w:rsidRDefault="00C840C9" w:rsidP="00C840C9">
      <w:pPr>
        <w:jc w:val="both"/>
        <w:rPr>
          <w:rFonts w:cs="Arial"/>
          <w:b/>
          <w:bCs/>
        </w:rPr>
      </w:pPr>
    </w:p>
    <w:p w14:paraId="01C802E3" w14:textId="77777777" w:rsidR="00C840C9" w:rsidRPr="00592915" w:rsidRDefault="00C840C9" w:rsidP="00C840C9">
      <w:pPr>
        <w:jc w:val="both"/>
        <w:rPr>
          <w:rFonts w:cs="Arial"/>
          <w:b/>
          <w:bCs/>
        </w:rPr>
      </w:pPr>
    </w:p>
    <w:p w14:paraId="7123778F" w14:textId="77777777" w:rsidR="00C840C9" w:rsidRPr="00592915" w:rsidRDefault="00C840C9" w:rsidP="00C840C9">
      <w:pPr>
        <w:jc w:val="both"/>
        <w:rPr>
          <w:rFonts w:cs="Arial"/>
          <w:b/>
          <w:bCs/>
        </w:rPr>
      </w:pPr>
    </w:p>
    <w:p w14:paraId="78AE9286" w14:textId="77777777" w:rsidR="00C840C9" w:rsidRPr="00592915" w:rsidRDefault="00C840C9" w:rsidP="00C840C9">
      <w:pPr>
        <w:jc w:val="both"/>
        <w:rPr>
          <w:rFonts w:cs="Arial"/>
          <w:b/>
          <w:bCs/>
        </w:rPr>
      </w:pPr>
    </w:p>
    <w:p w14:paraId="5C380CE6" w14:textId="77777777" w:rsidR="00C840C9" w:rsidRPr="00592915" w:rsidRDefault="00C840C9" w:rsidP="00C840C9">
      <w:pPr>
        <w:jc w:val="both"/>
        <w:rPr>
          <w:rFonts w:cs="Arial"/>
          <w:b/>
          <w:bCs/>
        </w:rPr>
      </w:pPr>
    </w:p>
    <w:p w14:paraId="6D53B4E2" w14:textId="77777777" w:rsidR="00C840C9" w:rsidRPr="00592915" w:rsidRDefault="00C840C9" w:rsidP="00C840C9">
      <w:pPr>
        <w:jc w:val="both"/>
        <w:rPr>
          <w:rFonts w:cs="Arial"/>
          <w:b/>
          <w:bCs/>
        </w:rPr>
      </w:pPr>
    </w:p>
    <w:p w14:paraId="3F4F406E" w14:textId="77777777" w:rsidR="00C840C9" w:rsidRPr="00592915" w:rsidRDefault="00C840C9" w:rsidP="00C840C9">
      <w:pPr>
        <w:jc w:val="both"/>
        <w:rPr>
          <w:rFonts w:cs="Arial"/>
          <w:b/>
          <w:bCs/>
        </w:rPr>
      </w:pPr>
    </w:p>
    <w:p w14:paraId="5E679F64" w14:textId="77777777" w:rsidR="00C840C9" w:rsidRPr="00592915" w:rsidRDefault="00C840C9" w:rsidP="00C840C9">
      <w:pPr>
        <w:jc w:val="both"/>
        <w:rPr>
          <w:rFonts w:cs="Arial"/>
          <w:b/>
          <w:bCs/>
        </w:rPr>
      </w:pPr>
    </w:p>
    <w:p w14:paraId="485A9A97" w14:textId="77777777" w:rsidR="00C840C9" w:rsidRPr="00592915" w:rsidRDefault="00C840C9" w:rsidP="00C840C9">
      <w:pPr>
        <w:jc w:val="both"/>
        <w:rPr>
          <w:rFonts w:cs="Arial"/>
          <w:b/>
          <w:bCs/>
        </w:rPr>
      </w:pPr>
    </w:p>
    <w:p w14:paraId="56E975D6" w14:textId="77777777" w:rsidR="00C840C9" w:rsidRPr="00592915" w:rsidRDefault="00C840C9" w:rsidP="00C840C9">
      <w:pPr>
        <w:jc w:val="both"/>
        <w:rPr>
          <w:rFonts w:cs="Arial"/>
          <w:b/>
          <w:bCs/>
        </w:rPr>
      </w:pPr>
    </w:p>
    <w:p w14:paraId="555A6A8F" w14:textId="77777777" w:rsidR="00C840C9" w:rsidRPr="00592915" w:rsidRDefault="00C840C9" w:rsidP="00C840C9">
      <w:pPr>
        <w:jc w:val="both"/>
        <w:rPr>
          <w:rFonts w:cs="Arial"/>
          <w:b/>
          <w:bCs/>
        </w:rPr>
      </w:pPr>
    </w:p>
    <w:p w14:paraId="08B6C54C" w14:textId="77777777" w:rsidR="00C840C9" w:rsidRPr="00592915" w:rsidRDefault="00C840C9" w:rsidP="00C840C9">
      <w:pPr>
        <w:jc w:val="both"/>
        <w:rPr>
          <w:rFonts w:cs="Arial"/>
          <w:b/>
          <w:bCs/>
        </w:rPr>
      </w:pPr>
    </w:p>
    <w:p w14:paraId="66BBA3D0" w14:textId="77777777" w:rsidR="00C840C9" w:rsidRPr="00592915" w:rsidRDefault="00C840C9" w:rsidP="00C840C9">
      <w:pPr>
        <w:jc w:val="both"/>
        <w:rPr>
          <w:rFonts w:cs="Arial"/>
          <w:b/>
          <w:bCs/>
        </w:rPr>
      </w:pPr>
    </w:p>
    <w:p w14:paraId="47884D09" w14:textId="77777777" w:rsidR="00C840C9" w:rsidRPr="00592915" w:rsidRDefault="00C840C9" w:rsidP="00C840C9">
      <w:pPr>
        <w:jc w:val="both"/>
        <w:rPr>
          <w:rFonts w:cs="Arial"/>
          <w:b/>
          <w:bCs/>
        </w:rPr>
      </w:pPr>
    </w:p>
    <w:p w14:paraId="53003061" w14:textId="77777777" w:rsidR="00C840C9" w:rsidRPr="00592915" w:rsidRDefault="00C840C9" w:rsidP="00C840C9">
      <w:pPr>
        <w:jc w:val="both"/>
        <w:rPr>
          <w:rFonts w:cs="Arial"/>
          <w:b/>
          <w:bCs/>
        </w:rPr>
      </w:pPr>
    </w:p>
    <w:p w14:paraId="494CD879" w14:textId="77777777" w:rsidR="00C840C9" w:rsidRPr="00592915" w:rsidRDefault="00C840C9" w:rsidP="00C840C9">
      <w:pPr>
        <w:jc w:val="both"/>
        <w:rPr>
          <w:rFonts w:cs="Arial"/>
          <w:b/>
          <w:bCs/>
        </w:rPr>
      </w:pPr>
    </w:p>
    <w:p w14:paraId="24196EA1" w14:textId="77777777" w:rsidR="00C840C9" w:rsidRPr="00592915" w:rsidRDefault="00C840C9" w:rsidP="00C840C9">
      <w:pPr>
        <w:jc w:val="both"/>
        <w:rPr>
          <w:rFonts w:cs="Arial"/>
          <w:b/>
          <w:bCs/>
        </w:rPr>
      </w:pPr>
    </w:p>
    <w:p w14:paraId="7EB5D3B4" w14:textId="77777777" w:rsidR="00C840C9" w:rsidRPr="00592915" w:rsidRDefault="00C840C9" w:rsidP="00C840C9">
      <w:pPr>
        <w:jc w:val="both"/>
        <w:rPr>
          <w:rFonts w:cs="Arial"/>
          <w:b/>
          <w:bCs/>
        </w:rPr>
      </w:pPr>
    </w:p>
    <w:p w14:paraId="20878998" w14:textId="77777777" w:rsidR="00C840C9" w:rsidRPr="00592915" w:rsidRDefault="00C840C9" w:rsidP="00C840C9">
      <w:pPr>
        <w:jc w:val="both"/>
        <w:rPr>
          <w:rFonts w:cs="Arial"/>
          <w:b/>
          <w:bCs/>
          <w:caps/>
        </w:rPr>
      </w:pPr>
      <w:r w:rsidRPr="00592915">
        <w:rPr>
          <w:rFonts w:cs="Arial"/>
          <w:b/>
          <w:bCs/>
        </w:rPr>
        <w:lastRenderedPageBreak/>
        <w:t xml:space="preserve">Section 1 – </w:t>
      </w:r>
      <w:r w:rsidRPr="00592915">
        <w:rPr>
          <w:rFonts w:cs="Arial"/>
          <w:b/>
          <w:bCs/>
          <w:caps/>
        </w:rPr>
        <w:t xml:space="preserve">PRINCIPLES OF THE Capital Strategy </w:t>
      </w:r>
    </w:p>
    <w:p w14:paraId="0AB64099" w14:textId="77777777" w:rsidR="00C840C9" w:rsidRPr="00592915" w:rsidRDefault="00C840C9" w:rsidP="00C840C9">
      <w:pPr>
        <w:jc w:val="both"/>
        <w:rPr>
          <w:rFonts w:cs="Arial"/>
          <w:b/>
          <w:bCs/>
        </w:rPr>
      </w:pPr>
    </w:p>
    <w:p w14:paraId="0CD8DFCA" w14:textId="77777777" w:rsidR="00C840C9" w:rsidRPr="00592915" w:rsidRDefault="00C840C9" w:rsidP="00C840C9">
      <w:pPr>
        <w:jc w:val="both"/>
        <w:rPr>
          <w:rFonts w:cs="Arial"/>
          <w:b/>
          <w:bCs/>
        </w:rPr>
      </w:pPr>
      <w:r w:rsidRPr="00592915">
        <w:rPr>
          <w:rFonts w:cs="Arial"/>
          <w:b/>
          <w:bCs/>
        </w:rPr>
        <w:t xml:space="preserve">1. Introduction </w:t>
      </w:r>
    </w:p>
    <w:p w14:paraId="770DF051" w14:textId="77777777" w:rsidR="00C840C9" w:rsidRPr="00592915" w:rsidRDefault="00C840C9" w:rsidP="00C840C9">
      <w:pPr>
        <w:ind w:left="720"/>
        <w:jc w:val="both"/>
        <w:rPr>
          <w:rFonts w:cs="Arial"/>
          <w:b/>
          <w:bCs/>
        </w:rPr>
      </w:pPr>
    </w:p>
    <w:p w14:paraId="6CC94C82" w14:textId="77777777" w:rsidR="00C840C9" w:rsidRPr="00592915" w:rsidRDefault="00C840C9" w:rsidP="00C840C9">
      <w:pPr>
        <w:jc w:val="both"/>
        <w:rPr>
          <w:rFonts w:cs="Arial"/>
        </w:rPr>
      </w:pPr>
      <w:r w:rsidRPr="00592915">
        <w:rPr>
          <w:rFonts w:cs="Arial"/>
        </w:rPr>
        <w:t>In December 2017, the Chartered Institute of Public Finance &amp; Accountancy issued a revised Prudential and Treasury Management Code, requiring all local authorities to produce a Capital Strategy report from 2019/20 onwards to show:</w:t>
      </w:r>
    </w:p>
    <w:p w14:paraId="01890573" w14:textId="77777777" w:rsidR="00C840C9" w:rsidRPr="00592915" w:rsidRDefault="00C840C9" w:rsidP="00C840C9">
      <w:pPr>
        <w:jc w:val="both"/>
        <w:rPr>
          <w:rFonts w:cs="Arial"/>
        </w:rPr>
      </w:pPr>
    </w:p>
    <w:p w14:paraId="00A2C7C0" w14:textId="77777777" w:rsidR="00C840C9" w:rsidRPr="00592915" w:rsidRDefault="00C840C9" w:rsidP="00C840C9">
      <w:pPr>
        <w:pStyle w:val="ListParagraph"/>
        <w:numPr>
          <w:ilvl w:val="0"/>
          <w:numId w:val="37"/>
        </w:numPr>
        <w:spacing w:line="276" w:lineRule="auto"/>
        <w:contextualSpacing/>
        <w:jc w:val="both"/>
        <w:rPr>
          <w:rFonts w:cs="Arial"/>
        </w:rPr>
      </w:pPr>
      <w:r w:rsidRPr="00592915">
        <w:rPr>
          <w:rFonts w:cs="Arial"/>
        </w:rPr>
        <w:t xml:space="preserve">a high-level </w:t>
      </w:r>
      <w:proofErr w:type="gramStart"/>
      <w:r w:rsidRPr="00592915">
        <w:rPr>
          <w:rFonts w:cs="Arial"/>
        </w:rPr>
        <w:t>long term</w:t>
      </w:r>
      <w:proofErr w:type="gramEnd"/>
      <w:r w:rsidRPr="00592915">
        <w:rPr>
          <w:rFonts w:cs="Arial"/>
        </w:rPr>
        <w:t xml:space="preserve"> overview of how capital expenditure, capital financing and treasury management activity contribute to the provision of services</w:t>
      </w:r>
    </w:p>
    <w:p w14:paraId="7FD5C25A" w14:textId="77777777" w:rsidR="00C840C9" w:rsidRPr="00592915" w:rsidRDefault="00C840C9" w:rsidP="00C840C9">
      <w:pPr>
        <w:pStyle w:val="ListParagraph"/>
        <w:numPr>
          <w:ilvl w:val="0"/>
          <w:numId w:val="37"/>
        </w:numPr>
        <w:spacing w:line="276" w:lineRule="auto"/>
        <w:jc w:val="both"/>
        <w:rPr>
          <w:rFonts w:cs="Arial"/>
        </w:rPr>
      </w:pPr>
      <w:r w:rsidRPr="00592915">
        <w:rPr>
          <w:rFonts w:cs="Arial"/>
        </w:rPr>
        <w:t xml:space="preserve">an overview of how the associated risk is </w:t>
      </w:r>
      <w:proofErr w:type="gramStart"/>
      <w:r w:rsidRPr="00592915">
        <w:rPr>
          <w:rFonts w:cs="Arial"/>
        </w:rPr>
        <w:t>managed</w:t>
      </w:r>
      <w:proofErr w:type="gramEnd"/>
    </w:p>
    <w:p w14:paraId="468DE579" w14:textId="77777777" w:rsidR="00C840C9" w:rsidRPr="00592915" w:rsidRDefault="00C840C9" w:rsidP="00C840C9">
      <w:pPr>
        <w:pStyle w:val="ListParagraph"/>
        <w:numPr>
          <w:ilvl w:val="0"/>
          <w:numId w:val="37"/>
        </w:numPr>
        <w:spacing w:line="276" w:lineRule="auto"/>
        <w:jc w:val="both"/>
        <w:rPr>
          <w:rFonts w:cs="Arial"/>
        </w:rPr>
      </w:pPr>
      <w:r w:rsidRPr="00592915">
        <w:rPr>
          <w:rFonts w:cs="Arial"/>
        </w:rPr>
        <w:t>the implications for future financial sustainability.</w:t>
      </w:r>
    </w:p>
    <w:p w14:paraId="4CA93E54" w14:textId="77777777" w:rsidR="00C840C9" w:rsidRPr="00592915" w:rsidRDefault="00C840C9" w:rsidP="00C840C9">
      <w:pPr>
        <w:pStyle w:val="ListParagraph"/>
        <w:spacing w:line="276" w:lineRule="auto"/>
        <w:ind w:left="1004"/>
        <w:jc w:val="both"/>
        <w:rPr>
          <w:rFonts w:cs="Arial"/>
        </w:rPr>
      </w:pPr>
    </w:p>
    <w:p w14:paraId="13C90186" w14:textId="77777777" w:rsidR="00C840C9" w:rsidRPr="00592915" w:rsidRDefault="00C840C9" w:rsidP="00C840C9">
      <w:pPr>
        <w:jc w:val="both"/>
        <w:rPr>
          <w:rFonts w:cs="Arial"/>
        </w:rPr>
      </w:pPr>
      <w:r w:rsidRPr="00592915">
        <w:rPr>
          <w:rFonts w:cs="Arial"/>
        </w:rPr>
        <w:t xml:space="preserve">This capital strategy meets the requirement by setting out the Council’s capital investment programme and how it contributes to the achievement of strategic priorities being refreshed through the Borough Plan, while considering resource availability and the wider financial context. It is intended to be supportive of the Council’s other strategy framework documents. </w:t>
      </w:r>
    </w:p>
    <w:p w14:paraId="214C1F77" w14:textId="77777777" w:rsidR="00C840C9" w:rsidRPr="00592915" w:rsidRDefault="00C840C9" w:rsidP="00C840C9">
      <w:pPr>
        <w:jc w:val="both"/>
        <w:rPr>
          <w:rFonts w:cs="Arial"/>
          <w:b/>
        </w:rPr>
      </w:pPr>
    </w:p>
    <w:p w14:paraId="005FCB09" w14:textId="77777777" w:rsidR="00C840C9" w:rsidRPr="00592915" w:rsidRDefault="00C840C9" w:rsidP="00C840C9">
      <w:pPr>
        <w:jc w:val="both"/>
        <w:rPr>
          <w:rFonts w:cs="Arial"/>
          <w:b/>
        </w:rPr>
      </w:pPr>
      <w:r w:rsidRPr="00592915">
        <w:rPr>
          <w:rFonts w:cs="Arial"/>
          <w:b/>
        </w:rPr>
        <w:t>2. Objectives and Principles</w:t>
      </w:r>
    </w:p>
    <w:p w14:paraId="75FCD196" w14:textId="77777777" w:rsidR="00C840C9" w:rsidRPr="00592915" w:rsidRDefault="00C840C9" w:rsidP="00C840C9">
      <w:pPr>
        <w:ind w:left="720"/>
        <w:jc w:val="both"/>
        <w:rPr>
          <w:rFonts w:cs="Arial"/>
          <w:b/>
        </w:rPr>
      </w:pPr>
    </w:p>
    <w:p w14:paraId="7F0165F8" w14:textId="77777777" w:rsidR="00C840C9" w:rsidRPr="00592915" w:rsidRDefault="00C840C9" w:rsidP="00C840C9">
      <w:pPr>
        <w:jc w:val="both"/>
        <w:rPr>
          <w:rFonts w:cs="Arial"/>
        </w:rPr>
      </w:pPr>
      <w:r w:rsidRPr="00592915">
        <w:rPr>
          <w:rFonts w:cs="Arial"/>
        </w:rPr>
        <w:t xml:space="preserve">The strategy details show how the Council sets out its priorities for Capital investment including links to existing delivery plans and strategy documents. It also considers the ways in which capital expenditure may be financed, including the impact that the Strategy has on the budgets of both the General Fund and the Housing Revenue Account (HRA). The strategy will also set out the links with Treasury Management objectives and determine the authority’s approach to risk in those objectives. </w:t>
      </w:r>
    </w:p>
    <w:p w14:paraId="73B1DAB2" w14:textId="77777777" w:rsidR="00C840C9" w:rsidRPr="00592915" w:rsidRDefault="00C840C9" w:rsidP="00C840C9">
      <w:pPr>
        <w:jc w:val="both"/>
        <w:rPr>
          <w:rFonts w:cs="Arial"/>
        </w:rPr>
      </w:pPr>
    </w:p>
    <w:p w14:paraId="091FC565" w14:textId="77777777" w:rsidR="00C840C9" w:rsidRPr="00592915" w:rsidRDefault="00C840C9" w:rsidP="00C840C9">
      <w:pPr>
        <w:jc w:val="both"/>
        <w:rPr>
          <w:rFonts w:cs="Arial"/>
        </w:rPr>
      </w:pPr>
      <w:r w:rsidRPr="00592915">
        <w:rPr>
          <w:rFonts w:cs="Arial"/>
        </w:rPr>
        <w:t xml:space="preserve">This document is part of the Council’s business planning process from both a financial and service perspective. It sets out a framework whereby the authority’s capital resources can be effectively allocated to those projects which may help the Council achieve wider corporate objectives, protect existing </w:t>
      </w:r>
      <w:proofErr w:type="gramStart"/>
      <w:r w:rsidRPr="00592915">
        <w:rPr>
          <w:rFonts w:cs="Arial"/>
        </w:rPr>
        <w:t>assets</w:t>
      </w:r>
      <w:proofErr w:type="gramEnd"/>
      <w:r w:rsidRPr="00592915">
        <w:rPr>
          <w:rFonts w:cs="Arial"/>
        </w:rPr>
        <w:t xml:space="preserve"> and support financial sustainability. </w:t>
      </w:r>
    </w:p>
    <w:p w14:paraId="22E4685E" w14:textId="77777777" w:rsidR="00C840C9" w:rsidRPr="00592915" w:rsidRDefault="00C840C9" w:rsidP="00C840C9">
      <w:pPr>
        <w:ind w:firstLine="284"/>
        <w:jc w:val="both"/>
        <w:rPr>
          <w:rFonts w:cs="Arial"/>
          <w:b/>
        </w:rPr>
      </w:pPr>
    </w:p>
    <w:p w14:paraId="2F84AC3A" w14:textId="77777777" w:rsidR="00C840C9" w:rsidRPr="00592915" w:rsidRDefault="00C840C9" w:rsidP="00C840C9">
      <w:pPr>
        <w:jc w:val="both"/>
        <w:rPr>
          <w:rFonts w:cs="Arial"/>
          <w:bCs/>
        </w:rPr>
      </w:pPr>
      <w:r w:rsidRPr="00592915">
        <w:rPr>
          <w:rFonts w:cs="Arial"/>
          <w:bCs/>
        </w:rPr>
        <w:t>Principles of the Capital Strategy</w:t>
      </w:r>
    </w:p>
    <w:p w14:paraId="0FCFEAE4" w14:textId="77777777" w:rsidR="00C840C9" w:rsidRPr="00592915" w:rsidRDefault="00C840C9" w:rsidP="00C840C9">
      <w:pPr>
        <w:ind w:firstLine="284"/>
        <w:jc w:val="both"/>
        <w:rPr>
          <w:rFonts w:cs="Arial"/>
        </w:rPr>
      </w:pPr>
    </w:p>
    <w:p w14:paraId="3672DAAF" w14:textId="77777777" w:rsidR="00C840C9" w:rsidRPr="00592915" w:rsidRDefault="00C840C9" w:rsidP="00C840C9">
      <w:pPr>
        <w:numPr>
          <w:ilvl w:val="0"/>
          <w:numId w:val="38"/>
        </w:numPr>
        <w:tabs>
          <w:tab w:val="left" w:pos="284"/>
        </w:tabs>
        <w:jc w:val="both"/>
        <w:rPr>
          <w:rFonts w:cs="Arial"/>
        </w:rPr>
      </w:pPr>
      <w:r w:rsidRPr="00592915">
        <w:rPr>
          <w:rFonts w:cs="Arial"/>
        </w:rPr>
        <w:t>Capital Investment is a vital tool in delivering strategic priorities.</w:t>
      </w:r>
    </w:p>
    <w:p w14:paraId="6F3C4BB4" w14:textId="77777777" w:rsidR="00C840C9" w:rsidRPr="00592915" w:rsidRDefault="00C840C9" w:rsidP="00C840C9">
      <w:pPr>
        <w:tabs>
          <w:tab w:val="left" w:pos="284"/>
        </w:tabs>
        <w:ind w:left="720"/>
        <w:jc w:val="both"/>
        <w:rPr>
          <w:rFonts w:cs="Arial"/>
        </w:rPr>
      </w:pPr>
    </w:p>
    <w:p w14:paraId="77313A50" w14:textId="77777777" w:rsidR="00C840C9" w:rsidRPr="00592915" w:rsidRDefault="00C840C9" w:rsidP="00C840C9">
      <w:pPr>
        <w:numPr>
          <w:ilvl w:val="0"/>
          <w:numId w:val="38"/>
        </w:numPr>
        <w:jc w:val="both"/>
        <w:rPr>
          <w:rFonts w:cs="Arial"/>
        </w:rPr>
      </w:pPr>
      <w:r w:rsidRPr="00592915">
        <w:rPr>
          <w:rFonts w:cs="Arial"/>
        </w:rPr>
        <w:t>The Capital Programme will include only these schemes in accordance with the agreed criteria.</w:t>
      </w:r>
    </w:p>
    <w:p w14:paraId="36970E11" w14:textId="77777777" w:rsidR="00C840C9" w:rsidRPr="00592915" w:rsidRDefault="00C840C9" w:rsidP="00C840C9">
      <w:pPr>
        <w:jc w:val="both"/>
        <w:rPr>
          <w:rFonts w:cs="Arial"/>
        </w:rPr>
      </w:pPr>
    </w:p>
    <w:p w14:paraId="5C037785" w14:textId="77777777" w:rsidR="00C840C9" w:rsidRPr="00592915" w:rsidRDefault="00C840C9" w:rsidP="00C840C9">
      <w:pPr>
        <w:numPr>
          <w:ilvl w:val="0"/>
          <w:numId w:val="38"/>
        </w:numPr>
        <w:jc w:val="both"/>
        <w:rPr>
          <w:rFonts w:cs="Arial"/>
        </w:rPr>
      </w:pPr>
      <w:r w:rsidRPr="00592915">
        <w:rPr>
          <w:rFonts w:cs="Arial"/>
        </w:rPr>
        <w:t>The evaluation of capital schemes for inclusion on the programme will follow an agreed process which allows scrutiny whilst not limiting innovation and adaptability.</w:t>
      </w:r>
    </w:p>
    <w:p w14:paraId="0C0CFEE3" w14:textId="77777777" w:rsidR="00C840C9" w:rsidRPr="00592915" w:rsidRDefault="00C840C9" w:rsidP="00C840C9">
      <w:pPr>
        <w:ind w:left="720"/>
        <w:jc w:val="both"/>
        <w:rPr>
          <w:rFonts w:cs="Arial"/>
        </w:rPr>
      </w:pPr>
    </w:p>
    <w:p w14:paraId="699B0E93" w14:textId="77777777" w:rsidR="00C840C9" w:rsidRPr="00592915" w:rsidRDefault="00C840C9" w:rsidP="00C840C9">
      <w:pPr>
        <w:numPr>
          <w:ilvl w:val="0"/>
          <w:numId w:val="38"/>
        </w:numPr>
        <w:jc w:val="both"/>
        <w:rPr>
          <w:rFonts w:cs="Arial"/>
        </w:rPr>
      </w:pPr>
      <w:r w:rsidRPr="00592915">
        <w:rPr>
          <w:rFonts w:cs="Arial"/>
        </w:rPr>
        <w:t>The funding of the Capital Programme must be considered alongside the revenue budget and balance sheet position as part of the Council's Medium Term Financial Strategy (MTFS).</w:t>
      </w:r>
    </w:p>
    <w:p w14:paraId="7C8AFB82" w14:textId="77777777" w:rsidR="00C840C9" w:rsidRPr="00592915" w:rsidRDefault="00C840C9" w:rsidP="00C840C9">
      <w:pPr>
        <w:ind w:left="720"/>
        <w:jc w:val="both"/>
        <w:rPr>
          <w:rFonts w:cs="Arial"/>
        </w:rPr>
      </w:pPr>
    </w:p>
    <w:p w14:paraId="7ADFAFD2" w14:textId="77777777" w:rsidR="00C840C9" w:rsidRPr="00592915" w:rsidRDefault="00C840C9" w:rsidP="00C840C9">
      <w:pPr>
        <w:ind w:left="993" w:hanging="709"/>
        <w:jc w:val="both"/>
        <w:rPr>
          <w:rFonts w:cs="Arial"/>
        </w:rPr>
      </w:pPr>
      <w:r w:rsidRPr="00592915">
        <w:rPr>
          <w:rFonts w:cs="Arial"/>
        </w:rPr>
        <w:lastRenderedPageBreak/>
        <w:t>6.</w:t>
      </w:r>
      <w:r w:rsidRPr="00592915">
        <w:rPr>
          <w:rFonts w:cs="Arial"/>
        </w:rPr>
        <w:tab/>
        <w:t>Capital projects will be monitored and reported to Cabinet on a quarterly basis.</w:t>
      </w:r>
    </w:p>
    <w:p w14:paraId="72690665" w14:textId="77777777" w:rsidR="00C840C9" w:rsidRPr="00592915" w:rsidRDefault="00C840C9" w:rsidP="00C840C9">
      <w:pPr>
        <w:jc w:val="both"/>
        <w:rPr>
          <w:rFonts w:cs="Arial"/>
          <w:b/>
        </w:rPr>
      </w:pPr>
    </w:p>
    <w:p w14:paraId="42273B51" w14:textId="77777777" w:rsidR="00C840C9" w:rsidRPr="00592915" w:rsidRDefault="00C840C9" w:rsidP="00C840C9">
      <w:pPr>
        <w:jc w:val="both"/>
        <w:rPr>
          <w:rFonts w:cs="Arial"/>
        </w:rPr>
      </w:pPr>
      <w:r w:rsidRPr="00592915">
        <w:rPr>
          <w:rFonts w:cs="Arial"/>
          <w:b/>
        </w:rPr>
        <w:t>3</w:t>
      </w:r>
      <w:r w:rsidRPr="00592915">
        <w:rPr>
          <w:rFonts w:cs="Arial"/>
          <w:b/>
          <w:bCs/>
        </w:rPr>
        <w:t xml:space="preserve">. Background </w:t>
      </w:r>
    </w:p>
    <w:p w14:paraId="761B582E" w14:textId="77777777" w:rsidR="00C840C9" w:rsidRPr="00592915" w:rsidRDefault="00C840C9" w:rsidP="00C840C9">
      <w:pPr>
        <w:jc w:val="both"/>
        <w:rPr>
          <w:rFonts w:cs="Arial"/>
        </w:rPr>
      </w:pPr>
    </w:p>
    <w:p w14:paraId="1212E10A" w14:textId="77777777" w:rsidR="00C840C9" w:rsidRPr="00592915" w:rsidRDefault="00C840C9" w:rsidP="00C840C9">
      <w:pPr>
        <w:jc w:val="both"/>
        <w:rPr>
          <w:rFonts w:cs="Arial"/>
        </w:rPr>
      </w:pPr>
      <w:r w:rsidRPr="00592915">
        <w:rPr>
          <w:rFonts w:cs="Arial"/>
        </w:rPr>
        <w:t>As part of its wider treasury management objectives the Council must have regard to the “Prudential Code for Capital Finance in Local Authorities” (henceforth to be referred to as the Prudential Code), as produced by the Chartered Institute of Public Finance &amp; Accountancy (CIPFA). The 2017 revision of the Prudential Code introduces the requirement for authorities to produce a Capital Strategy from 2019/20.  It is a live document underpinning the Council’s Capital Programme and therefore will be subject to amendment.</w:t>
      </w:r>
    </w:p>
    <w:p w14:paraId="794FE7B7" w14:textId="77777777" w:rsidR="00C840C9" w:rsidRPr="00592915" w:rsidRDefault="00C840C9" w:rsidP="00C840C9">
      <w:pPr>
        <w:jc w:val="both"/>
        <w:rPr>
          <w:rFonts w:cs="Arial"/>
        </w:rPr>
      </w:pPr>
    </w:p>
    <w:p w14:paraId="09794255" w14:textId="77777777" w:rsidR="00C840C9" w:rsidRPr="00592915" w:rsidRDefault="00C840C9" w:rsidP="00C840C9">
      <w:pPr>
        <w:jc w:val="both"/>
        <w:rPr>
          <w:rFonts w:cs="Arial"/>
          <w:b/>
          <w:bCs/>
        </w:rPr>
      </w:pPr>
      <w:r w:rsidRPr="00592915">
        <w:rPr>
          <w:rFonts w:cs="Arial"/>
          <w:b/>
          <w:bCs/>
        </w:rPr>
        <w:t xml:space="preserve">4. Capital Expenditure </w:t>
      </w:r>
    </w:p>
    <w:p w14:paraId="0BF26B42" w14:textId="77777777" w:rsidR="00C840C9" w:rsidRPr="00592915" w:rsidRDefault="00C840C9" w:rsidP="00C840C9">
      <w:pPr>
        <w:jc w:val="both"/>
        <w:rPr>
          <w:rFonts w:cs="Arial"/>
        </w:rPr>
      </w:pPr>
    </w:p>
    <w:p w14:paraId="6E09752D" w14:textId="77777777" w:rsidR="00C840C9" w:rsidRPr="00592915" w:rsidRDefault="00C840C9" w:rsidP="00C840C9">
      <w:pPr>
        <w:jc w:val="both"/>
        <w:rPr>
          <w:rFonts w:cs="Arial"/>
        </w:rPr>
      </w:pPr>
      <w:r w:rsidRPr="00592915">
        <w:rPr>
          <w:rFonts w:cs="Arial"/>
        </w:rPr>
        <w:t xml:space="preserve">Capital Expenditure is that which is incurred on the acquisition, </w:t>
      </w:r>
      <w:proofErr w:type="gramStart"/>
      <w:r w:rsidRPr="00592915">
        <w:rPr>
          <w:rFonts w:cs="Arial"/>
        </w:rPr>
        <w:t>creation</w:t>
      </w:r>
      <w:proofErr w:type="gramEnd"/>
      <w:r w:rsidRPr="00592915">
        <w:rPr>
          <w:rFonts w:cs="Arial"/>
        </w:rPr>
        <w:t xml:space="preserve"> or enhancement of an asset. These assets can be tangible such as buildings or vehicles, as well as intangible such as software products. </w:t>
      </w:r>
    </w:p>
    <w:p w14:paraId="7BE13402" w14:textId="77777777" w:rsidR="00C840C9" w:rsidRPr="00592915" w:rsidRDefault="00C840C9" w:rsidP="00C840C9">
      <w:pPr>
        <w:jc w:val="both"/>
        <w:rPr>
          <w:rFonts w:cs="Arial"/>
          <w:b/>
        </w:rPr>
      </w:pPr>
    </w:p>
    <w:p w14:paraId="099529E4" w14:textId="77777777" w:rsidR="00C840C9" w:rsidRPr="00592915" w:rsidRDefault="00C840C9" w:rsidP="00C840C9">
      <w:pPr>
        <w:jc w:val="both"/>
        <w:rPr>
          <w:rFonts w:cs="Arial"/>
        </w:rPr>
      </w:pPr>
      <w:r w:rsidRPr="00592915">
        <w:rPr>
          <w:rFonts w:cs="Arial"/>
          <w:b/>
        </w:rPr>
        <w:t>5</w:t>
      </w:r>
      <w:r w:rsidRPr="00592915">
        <w:rPr>
          <w:rFonts w:cs="Arial"/>
          <w:b/>
          <w:bCs/>
        </w:rPr>
        <w:t xml:space="preserve">. The link between Revenue and Capital </w:t>
      </w:r>
    </w:p>
    <w:p w14:paraId="3A74B85D" w14:textId="77777777" w:rsidR="00C840C9" w:rsidRPr="00592915" w:rsidRDefault="00C840C9" w:rsidP="00C840C9">
      <w:pPr>
        <w:jc w:val="both"/>
        <w:rPr>
          <w:rFonts w:cs="Arial"/>
        </w:rPr>
      </w:pPr>
    </w:p>
    <w:p w14:paraId="2AD1ABE4" w14:textId="77777777" w:rsidR="00C840C9" w:rsidRPr="00592915" w:rsidRDefault="00C840C9" w:rsidP="00C840C9">
      <w:pPr>
        <w:jc w:val="both"/>
        <w:rPr>
          <w:rFonts w:cs="Arial"/>
        </w:rPr>
      </w:pPr>
      <w:r w:rsidRPr="00592915">
        <w:rPr>
          <w:rFonts w:cs="Arial"/>
        </w:rPr>
        <w:t xml:space="preserve">Capital and revenue expenditure are separate components of local authority budgets and funding for each is considered separately. However, a vital component of successful financial planning is that revenue and capital budgets are intrinsically linked as the impact of capital expenditure must be reflected in revenue budgets. Therefore, this capital strategy should be deemed to form a key part of the authority’s medium term financial planning process. </w:t>
      </w:r>
    </w:p>
    <w:p w14:paraId="48BC1714" w14:textId="77777777" w:rsidR="00C840C9" w:rsidRPr="00592915" w:rsidRDefault="00C840C9" w:rsidP="00C840C9">
      <w:pPr>
        <w:jc w:val="both"/>
        <w:rPr>
          <w:rFonts w:cs="Arial"/>
        </w:rPr>
      </w:pPr>
    </w:p>
    <w:p w14:paraId="72CE3E84" w14:textId="77777777" w:rsidR="00C840C9" w:rsidRPr="00592915" w:rsidRDefault="00C840C9" w:rsidP="00C840C9">
      <w:pPr>
        <w:jc w:val="both"/>
        <w:rPr>
          <w:rFonts w:cs="Arial"/>
        </w:rPr>
      </w:pPr>
      <w:r w:rsidRPr="00592915">
        <w:rPr>
          <w:rFonts w:cs="Arial"/>
        </w:rPr>
        <w:t xml:space="preserve">The impact and affordability of capital expenditure must be considered in the assessment of capital projects at the business case stage. Effective financial planning must fully reflect the impact of capital plans in the revenue budget. </w:t>
      </w:r>
    </w:p>
    <w:p w14:paraId="6D414F80" w14:textId="77777777" w:rsidR="00C840C9" w:rsidRPr="00592915" w:rsidRDefault="00C840C9" w:rsidP="00C840C9">
      <w:pPr>
        <w:jc w:val="both"/>
        <w:rPr>
          <w:rFonts w:cs="Arial"/>
        </w:rPr>
      </w:pPr>
    </w:p>
    <w:p w14:paraId="7D93E3F2" w14:textId="77777777" w:rsidR="00C840C9" w:rsidRPr="00592915" w:rsidRDefault="00C840C9" w:rsidP="00C840C9">
      <w:pPr>
        <w:jc w:val="both"/>
        <w:rPr>
          <w:rFonts w:cs="Arial"/>
        </w:rPr>
      </w:pPr>
      <w:r w:rsidRPr="00592915">
        <w:rPr>
          <w:rFonts w:cs="Arial"/>
        </w:rPr>
        <w:t xml:space="preserve">The following table sets out some of the key impacts of capital expenditure upon the revenue budget. </w:t>
      </w:r>
    </w:p>
    <w:p w14:paraId="2D9CC442" w14:textId="77777777" w:rsidR="00C840C9" w:rsidRPr="00592915" w:rsidRDefault="00C840C9" w:rsidP="00C840C9">
      <w:pPr>
        <w:jc w:val="both"/>
        <w:rPr>
          <w:rFonts w:cs="Arial"/>
        </w:rPr>
      </w:pPr>
    </w:p>
    <w:p w14:paraId="7221EFDD" w14:textId="77777777" w:rsidR="00C840C9" w:rsidRPr="00592915" w:rsidRDefault="00C840C9" w:rsidP="00C840C9">
      <w:pPr>
        <w:pBdr>
          <w:top w:val="single" w:sz="4" w:space="1" w:color="auto"/>
          <w:left w:val="single" w:sz="4" w:space="4" w:color="auto"/>
          <w:bottom w:val="single" w:sz="4" w:space="1" w:color="auto"/>
          <w:right w:val="single" w:sz="4" w:space="4" w:color="auto"/>
        </w:pBdr>
        <w:spacing w:after="100"/>
        <w:jc w:val="both"/>
        <w:rPr>
          <w:rFonts w:cs="Arial"/>
          <w:b/>
        </w:rPr>
      </w:pPr>
      <w:r w:rsidRPr="00592915">
        <w:rPr>
          <w:rFonts w:cs="Arial"/>
          <w:b/>
        </w:rPr>
        <w:t xml:space="preserve">Revenue Savings </w:t>
      </w:r>
    </w:p>
    <w:p w14:paraId="1AFBF3F6" w14:textId="77777777" w:rsidR="00C840C9" w:rsidRPr="00592915" w:rsidRDefault="00C840C9" w:rsidP="00C840C9">
      <w:pPr>
        <w:pBdr>
          <w:top w:val="single" w:sz="4" w:space="1" w:color="auto"/>
          <w:left w:val="single" w:sz="4" w:space="4" w:color="auto"/>
          <w:bottom w:val="single" w:sz="4" w:space="1" w:color="auto"/>
          <w:right w:val="single" w:sz="4" w:space="4" w:color="auto"/>
        </w:pBdr>
        <w:spacing w:after="100"/>
        <w:jc w:val="both"/>
        <w:rPr>
          <w:rFonts w:cs="Arial"/>
          <w:sz w:val="20"/>
        </w:rPr>
      </w:pPr>
      <w:r w:rsidRPr="00592915">
        <w:rPr>
          <w:rFonts w:cs="Arial"/>
          <w:sz w:val="20"/>
        </w:rPr>
        <w:t xml:space="preserve">•Direct Income from assets </w:t>
      </w:r>
    </w:p>
    <w:p w14:paraId="4ECAF5D0" w14:textId="77777777" w:rsidR="00C840C9" w:rsidRPr="00592915" w:rsidRDefault="00C840C9" w:rsidP="00C840C9">
      <w:pPr>
        <w:pBdr>
          <w:top w:val="single" w:sz="4" w:space="1" w:color="auto"/>
          <w:left w:val="single" w:sz="4" w:space="4" w:color="auto"/>
          <w:bottom w:val="single" w:sz="4" w:space="1" w:color="auto"/>
          <w:right w:val="single" w:sz="4" w:space="4" w:color="auto"/>
        </w:pBdr>
        <w:spacing w:after="100"/>
        <w:jc w:val="both"/>
        <w:rPr>
          <w:rFonts w:cs="Arial"/>
          <w:sz w:val="20"/>
        </w:rPr>
      </w:pPr>
      <w:r w:rsidRPr="00592915">
        <w:rPr>
          <w:rFonts w:cs="Arial"/>
          <w:sz w:val="20"/>
        </w:rPr>
        <w:t>•Reduced maintenance costs of new or improved assets</w:t>
      </w:r>
    </w:p>
    <w:p w14:paraId="5B451769" w14:textId="77777777" w:rsidR="00C840C9" w:rsidRPr="00592915" w:rsidRDefault="00C840C9" w:rsidP="00C840C9">
      <w:pPr>
        <w:pBdr>
          <w:top w:val="single" w:sz="4" w:space="1" w:color="auto"/>
          <w:left w:val="single" w:sz="4" w:space="4" w:color="auto"/>
          <w:bottom w:val="single" w:sz="4" w:space="1" w:color="auto"/>
          <w:right w:val="single" w:sz="4" w:space="4" w:color="auto"/>
        </w:pBdr>
        <w:tabs>
          <w:tab w:val="left" w:pos="426"/>
        </w:tabs>
        <w:spacing w:after="100"/>
        <w:jc w:val="both"/>
        <w:rPr>
          <w:rFonts w:cs="Arial"/>
          <w:sz w:val="20"/>
        </w:rPr>
      </w:pPr>
      <w:r w:rsidRPr="00592915">
        <w:rPr>
          <w:rFonts w:cs="Arial"/>
          <w:sz w:val="20"/>
        </w:rPr>
        <w:t xml:space="preserve">•Savings in labour costs </w:t>
      </w:r>
    </w:p>
    <w:p w14:paraId="049FF1BD" w14:textId="77777777" w:rsidR="00C840C9" w:rsidRPr="00592915" w:rsidRDefault="00C840C9" w:rsidP="00C840C9">
      <w:pPr>
        <w:pBdr>
          <w:top w:val="single" w:sz="4" w:space="1" w:color="auto"/>
          <w:left w:val="single" w:sz="4" w:space="4" w:color="auto"/>
          <w:bottom w:val="single" w:sz="4" w:space="1" w:color="auto"/>
          <w:right w:val="single" w:sz="4" w:space="4" w:color="auto"/>
        </w:pBdr>
        <w:spacing w:after="100"/>
        <w:jc w:val="both"/>
        <w:rPr>
          <w:rFonts w:cs="Arial"/>
          <w:b/>
        </w:rPr>
      </w:pPr>
      <w:r w:rsidRPr="00592915">
        <w:rPr>
          <w:rFonts w:cs="Arial"/>
          <w:b/>
        </w:rPr>
        <w:t xml:space="preserve">Revenue Costs </w:t>
      </w:r>
    </w:p>
    <w:p w14:paraId="070983EE" w14:textId="77777777" w:rsidR="00C840C9" w:rsidRPr="00592915" w:rsidRDefault="00C840C9" w:rsidP="00C840C9">
      <w:pPr>
        <w:pBdr>
          <w:top w:val="single" w:sz="4" w:space="1" w:color="auto"/>
          <w:left w:val="single" w:sz="4" w:space="4" w:color="auto"/>
          <w:bottom w:val="single" w:sz="4" w:space="1" w:color="auto"/>
          <w:right w:val="single" w:sz="4" w:space="4" w:color="auto"/>
        </w:pBdr>
        <w:spacing w:after="100"/>
        <w:jc w:val="both"/>
        <w:rPr>
          <w:rFonts w:cs="Arial"/>
          <w:sz w:val="20"/>
        </w:rPr>
      </w:pPr>
      <w:r w:rsidRPr="00592915">
        <w:rPr>
          <w:rFonts w:cs="Arial"/>
        </w:rPr>
        <w:t>•</w:t>
      </w:r>
      <w:r w:rsidRPr="00592915">
        <w:rPr>
          <w:rFonts w:cs="Arial"/>
          <w:sz w:val="20"/>
        </w:rPr>
        <w:t xml:space="preserve">Running costs of new assets </w:t>
      </w:r>
    </w:p>
    <w:p w14:paraId="1316F1A5" w14:textId="77777777" w:rsidR="00C840C9" w:rsidRPr="00592915" w:rsidRDefault="00C840C9" w:rsidP="00C840C9">
      <w:pPr>
        <w:pBdr>
          <w:top w:val="single" w:sz="4" w:space="1" w:color="auto"/>
          <w:left w:val="single" w:sz="4" w:space="4" w:color="auto"/>
          <w:bottom w:val="single" w:sz="4" w:space="1" w:color="auto"/>
          <w:right w:val="single" w:sz="4" w:space="4" w:color="auto"/>
        </w:pBdr>
        <w:spacing w:after="100"/>
        <w:jc w:val="both"/>
        <w:rPr>
          <w:rFonts w:cs="Arial"/>
          <w:sz w:val="20"/>
        </w:rPr>
      </w:pPr>
      <w:r w:rsidRPr="00592915">
        <w:rPr>
          <w:rFonts w:cs="Arial"/>
          <w:sz w:val="20"/>
        </w:rPr>
        <w:t>•Minimum Revenue Provision (loan principal)</w:t>
      </w:r>
    </w:p>
    <w:p w14:paraId="7240F28C" w14:textId="77777777" w:rsidR="00C840C9" w:rsidRPr="00592915" w:rsidRDefault="00C840C9" w:rsidP="00C840C9">
      <w:pPr>
        <w:pBdr>
          <w:top w:val="single" w:sz="4" w:space="1" w:color="auto"/>
          <w:left w:val="single" w:sz="4" w:space="4" w:color="auto"/>
          <w:bottom w:val="single" w:sz="4" w:space="1" w:color="auto"/>
          <w:right w:val="single" w:sz="4" w:space="4" w:color="auto"/>
        </w:pBdr>
        <w:spacing w:after="100"/>
        <w:jc w:val="both"/>
        <w:rPr>
          <w:rFonts w:cs="Arial"/>
          <w:sz w:val="20"/>
        </w:rPr>
      </w:pPr>
      <w:r w:rsidRPr="00592915">
        <w:rPr>
          <w:rFonts w:cs="Arial"/>
          <w:sz w:val="20"/>
        </w:rPr>
        <w:t xml:space="preserve">•Interest costs from borrowing  </w:t>
      </w:r>
    </w:p>
    <w:p w14:paraId="40A5DA1F" w14:textId="77777777" w:rsidR="00C840C9" w:rsidRPr="00592915" w:rsidRDefault="00C840C9" w:rsidP="00C840C9">
      <w:pPr>
        <w:rPr>
          <w:rFonts w:cs="Arial"/>
        </w:rPr>
      </w:pPr>
    </w:p>
    <w:p w14:paraId="35ADBB71" w14:textId="77777777" w:rsidR="00C840C9" w:rsidRPr="00592915" w:rsidRDefault="00C840C9" w:rsidP="00C840C9">
      <w:pPr>
        <w:rPr>
          <w:rFonts w:cs="Arial"/>
        </w:rPr>
      </w:pPr>
      <w:r w:rsidRPr="00592915">
        <w:rPr>
          <w:rFonts w:cs="Arial"/>
        </w:rPr>
        <w:t>As an indication of the current cost of the existing capital programme, the table below shows the capital financing costs that are already factored into the existing MTFS for 202</w:t>
      </w:r>
      <w:r>
        <w:rPr>
          <w:rFonts w:cs="Arial"/>
        </w:rPr>
        <w:t>4/25</w:t>
      </w:r>
      <w:r w:rsidRPr="00592915">
        <w:rPr>
          <w:rFonts w:cs="Arial"/>
        </w:rPr>
        <w:t xml:space="preserve"> to 202</w:t>
      </w:r>
      <w:r>
        <w:rPr>
          <w:rFonts w:cs="Arial"/>
        </w:rPr>
        <w:t>6/27</w:t>
      </w:r>
      <w:r w:rsidRPr="00592915">
        <w:rPr>
          <w:rFonts w:cs="Arial"/>
        </w:rPr>
        <w:t xml:space="preserve"> in relation to the existing and historic capital programmes: </w:t>
      </w:r>
    </w:p>
    <w:p w14:paraId="64FCB245" w14:textId="77777777" w:rsidR="00C840C9" w:rsidRPr="00592915" w:rsidRDefault="00C840C9" w:rsidP="00C840C9">
      <w:pPr>
        <w:rPr>
          <w:rFonts w:cs="Arial"/>
        </w:rPr>
      </w:pPr>
    </w:p>
    <w:p w14:paraId="4D4FE133" w14:textId="77777777" w:rsidR="00C840C9" w:rsidRPr="00592915" w:rsidRDefault="00C840C9" w:rsidP="00C840C9">
      <w:pPr>
        <w:ind w:left="720"/>
        <w:contextualSpacing/>
        <w:rPr>
          <w:rFonts w:cs="Arial"/>
          <w:b/>
          <w:szCs w:val="24"/>
        </w:rPr>
      </w:pPr>
      <w:bookmarkStart w:id="36" w:name="OLE_LINK1"/>
      <w:r w:rsidRPr="00592915">
        <w:rPr>
          <w:rFonts w:cs="Arial"/>
          <w:b/>
          <w:szCs w:val="24"/>
        </w:rPr>
        <w:lastRenderedPageBreak/>
        <w:t>Capital Financing Costs as % of the Net Revenue Budget for 202</w:t>
      </w:r>
      <w:r>
        <w:rPr>
          <w:rFonts w:cs="Arial"/>
          <w:b/>
          <w:szCs w:val="24"/>
        </w:rPr>
        <w:t>4/25</w:t>
      </w:r>
      <w:r w:rsidRPr="00592915">
        <w:rPr>
          <w:rFonts w:cs="Arial"/>
          <w:b/>
          <w:szCs w:val="24"/>
        </w:rPr>
        <w:t xml:space="preserve"> of £</w:t>
      </w:r>
      <w:r>
        <w:rPr>
          <w:rFonts w:cs="Arial"/>
          <w:b/>
          <w:szCs w:val="24"/>
        </w:rPr>
        <w:t>202.6</w:t>
      </w:r>
      <w:r w:rsidRPr="00592915">
        <w:rPr>
          <w:rFonts w:cs="Arial"/>
          <w:b/>
          <w:szCs w:val="24"/>
        </w:rPr>
        <w:t>m</w:t>
      </w:r>
    </w:p>
    <w:tbl>
      <w:tblPr>
        <w:tblStyle w:val="TableGrid"/>
        <w:tblW w:w="0" w:type="auto"/>
        <w:tblInd w:w="720" w:type="dxa"/>
        <w:tblLook w:val="04A0" w:firstRow="1" w:lastRow="0" w:firstColumn="1" w:lastColumn="0" w:noHBand="0" w:noVBand="1"/>
      </w:tblPr>
      <w:tblGrid>
        <w:gridCol w:w="1935"/>
        <w:gridCol w:w="2746"/>
        <w:gridCol w:w="2898"/>
      </w:tblGrid>
      <w:tr w:rsidR="00C840C9" w:rsidRPr="00592915" w14:paraId="1D60091A" w14:textId="77777777" w:rsidTr="00E401B7">
        <w:trPr>
          <w:trHeight w:val="801"/>
        </w:trPr>
        <w:tc>
          <w:tcPr>
            <w:tcW w:w="1937" w:type="dxa"/>
            <w:tcBorders>
              <w:top w:val="single" w:sz="4" w:space="0" w:color="auto"/>
              <w:left w:val="single" w:sz="4" w:space="0" w:color="auto"/>
              <w:bottom w:val="single" w:sz="4" w:space="0" w:color="auto"/>
              <w:right w:val="single" w:sz="4" w:space="0" w:color="auto"/>
            </w:tcBorders>
          </w:tcPr>
          <w:p w14:paraId="0C7F3D18" w14:textId="77777777" w:rsidR="00C840C9" w:rsidRPr="00592915" w:rsidRDefault="00C840C9" w:rsidP="00E401B7">
            <w:pPr>
              <w:rPr>
                <w:rFonts w:cs="Arial"/>
                <w:szCs w:val="24"/>
              </w:rPr>
            </w:pPr>
          </w:p>
        </w:tc>
        <w:tc>
          <w:tcPr>
            <w:tcW w:w="2749" w:type="dxa"/>
            <w:tcBorders>
              <w:top w:val="single" w:sz="4" w:space="0" w:color="auto"/>
              <w:left w:val="single" w:sz="4" w:space="0" w:color="auto"/>
              <w:bottom w:val="single" w:sz="4" w:space="0" w:color="auto"/>
              <w:right w:val="single" w:sz="4" w:space="0" w:color="auto"/>
            </w:tcBorders>
            <w:hideMark/>
          </w:tcPr>
          <w:p w14:paraId="085773D9" w14:textId="77777777" w:rsidR="00C840C9" w:rsidRPr="00592915" w:rsidRDefault="00C840C9" w:rsidP="00E401B7">
            <w:pPr>
              <w:jc w:val="center"/>
              <w:rPr>
                <w:rFonts w:cs="Arial"/>
                <w:szCs w:val="24"/>
              </w:rPr>
            </w:pPr>
            <w:r w:rsidRPr="00592915">
              <w:rPr>
                <w:rFonts w:cs="Arial"/>
                <w:szCs w:val="24"/>
              </w:rPr>
              <w:t>Capital Financing Costs</w:t>
            </w:r>
          </w:p>
        </w:tc>
        <w:tc>
          <w:tcPr>
            <w:tcW w:w="2901" w:type="dxa"/>
            <w:tcBorders>
              <w:top w:val="single" w:sz="4" w:space="0" w:color="auto"/>
              <w:left w:val="single" w:sz="4" w:space="0" w:color="auto"/>
              <w:bottom w:val="single" w:sz="4" w:space="0" w:color="auto"/>
              <w:right w:val="single" w:sz="4" w:space="0" w:color="auto"/>
            </w:tcBorders>
            <w:hideMark/>
          </w:tcPr>
          <w:p w14:paraId="1E04132B" w14:textId="77777777" w:rsidR="00C840C9" w:rsidRPr="00592915" w:rsidRDefault="00C840C9" w:rsidP="00E401B7">
            <w:pPr>
              <w:jc w:val="center"/>
              <w:rPr>
                <w:rFonts w:cs="Arial"/>
                <w:szCs w:val="24"/>
              </w:rPr>
            </w:pPr>
            <w:r w:rsidRPr="00592915">
              <w:rPr>
                <w:rFonts w:cs="Arial"/>
                <w:szCs w:val="24"/>
              </w:rPr>
              <w:t>Capital financing costs as % of 202</w:t>
            </w:r>
            <w:r>
              <w:rPr>
                <w:rFonts w:cs="Arial"/>
                <w:szCs w:val="24"/>
              </w:rPr>
              <w:t>4/25</w:t>
            </w:r>
            <w:r w:rsidRPr="00592915">
              <w:rPr>
                <w:rFonts w:cs="Arial"/>
                <w:szCs w:val="24"/>
              </w:rPr>
              <w:t xml:space="preserve"> Net Budget</w:t>
            </w:r>
          </w:p>
        </w:tc>
      </w:tr>
      <w:tr w:rsidR="00C840C9" w:rsidRPr="00592915" w14:paraId="1F1A975A" w14:textId="77777777" w:rsidTr="00E401B7">
        <w:trPr>
          <w:trHeight w:val="271"/>
        </w:trPr>
        <w:tc>
          <w:tcPr>
            <w:tcW w:w="1937" w:type="dxa"/>
            <w:tcBorders>
              <w:top w:val="single" w:sz="4" w:space="0" w:color="auto"/>
              <w:left w:val="single" w:sz="4" w:space="0" w:color="auto"/>
              <w:bottom w:val="single" w:sz="4" w:space="0" w:color="auto"/>
              <w:right w:val="single" w:sz="4" w:space="0" w:color="auto"/>
            </w:tcBorders>
          </w:tcPr>
          <w:p w14:paraId="0849F1EE" w14:textId="77777777" w:rsidR="00C840C9" w:rsidRPr="00592915" w:rsidRDefault="00C840C9" w:rsidP="00E401B7">
            <w:pPr>
              <w:rPr>
                <w:rFonts w:cs="Arial"/>
                <w:szCs w:val="24"/>
              </w:rPr>
            </w:pPr>
          </w:p>
        </w:tc>
        <w:tc>
          <w:tcPr>
            <w:tcW w:w="2749" w:type="dxa"/>
            <w:tcBorders>
              <w:top w:val="single" w:sz="4" w:space="0" w:color="auto"/>
              <w:left w:val="single" w:sz="4" w:space="0" w:color="auto"/>
              <w:bottom w:val="single" w:sz="4" w:space="0" w:color="auto"/>
              <w:right w:val="single" w:sz="4" w:space="0" w:color="auto"/>
            </w:tcBorders>
            <w:hideMark/>
          </w:tcPr>
          <w:p w14:paraId="17D2F5E1" w14:textId="77777777" w:rsidR="00C840C9" w:rsidRPr="00592915" w:rsidRDefault="00C840C9" w:rsidP="00E401B7">
            <w:pPr>
              <w:jc w:val="center"/>
              <w:rPr>
                <w:rFonts w:cs="Arial"/>
                <w:szCs w:val="24"/>
              </w:rPr>
            </w:pPr>
            <w:r w:rsidRPr="00592915">
              <w:rPr>
                <w:rFonts w:cs="Arial"/>
                <w:szCs w:val="24"/>
              </w:rPr>
              <w:t>£m</w:t>
            </w:r>
          </w:p>
        </w:tc>
        <w:tc>
          <w:tcPr>
            <w:tcW w:w="2901" w:type="dxa"/>
            <w:tcBorders>
              <w:top w:val="single" w:sz="4" w:space="0" w:color="auto"/>
              <w:left w:val="single" w:sz="4" w:space="0" w:color="auto"/>
              <w:bottom w:val="single" w:sz="4" w:space="0" w:color="auto"/>
              <w:right w:val="single" w:sz="4" w:space="0" w:color="auto"/>
            </w:tcBorders>
            <w:hideMark/>
          </w:tcPr>
          <w:p w14:paraId="132F77FB" w14:textId="77777777" w:rsidR="00C840C9" w:rsidRPr="00592915" w:rsidRDefault="00C840C9" w:rsidP="00E401B7">
            <w:pPr>
              <w:jc w:val="center"/>
              <w:rPr>
                <w:rFonts w:cs="Arial"/>
                <w:szCs w:val="24"/>
              </w:rPr>
            </w:pPr>
            <w:r w:rsidRPr="00592915">
              <w:rPr>
                <w:rFonts w:cs="Arial"/>
                <w:szCs w:val="24"/>
              </w:rPr>
              <w:t>%</w:t>
            </w:r>
          </w:p>
        </w:tc>
      </w:tr>
      <w:tr w:rsidR="00C840C9" w:rsidRPr="00592915" w14:paraId="5ED4903B" w14:textId="77777777" w:rsidTr="00E401B7">
        <w:trPr>
          <w:trHeight w:val="271"/>
        </w:trPr>
        <w:tc>
          <w:tcPr>
            <w:tcW w:w="1937" w:type="dxa"/>
            <w:tcBorders>
              <w:top w:val="single" w:sz="4" w:space="0" w:color="auto"/>
              <w:left w:val="single" w:sz="4" w:space="0" w:color="auto"/>
              <w:bottom w:val="single" w:sz="4" w:space="0" w:color="auto"/>
              <w:right w:val="single" w:sz="4" w:space="0" w:color="auto"/>
            </w:tcBorders>
            <w:hideMark/>
          </w:tcPr>
          <w:p w14:paraId="5A2D0FE4" w14:textId="77777777" w:rsidR="00C840C9" w:rsidRPr="00592915" w:rsidRDefault="00C840C9" w:rsidP="00E401B7">
            <w:pPr>
              <w:rPr>
                <w:rFonts w:cs="Arial"/>
                <w:szCs w:val="24"/>
              </w:rPr>
            </w:pPr>
            <w:r w:rsidRPr="00592915">
              <w:rPr>
                <w:rFonts w:cs="Arial"/>
                <w:szCs w:val="24"/>
              </w:rPr>
              <w:t>202</w:t>
            </w:r>
            <w:r>
              <w:rPr>
                <w:rFonts w:cs="Arial"/>
                <w:szCs w:val="24"/>
              </w:rPr>
              <w:t>4/25</w:t>
            </w:r>
          </w:p>
        </w:tc>
        <w:tc>
          <w:tcPr>
            <w:tcW w:w="2749" w:type="dxa"/>
            <w:tcBorders>
              <w:top w:val="single" w:sz="4" w:space="0" w:color="auto"/>
              <w:left w:val="single" w:sz="4" w:space="0" w:color="auto"/>
              <w:bottom w:val="single" w:sz="4" w:space="0" w:color="auto"/>
              <w:right w:val="single" w:sz="4" w:space="0" w:color="auto"/>
            </w:tcBorders>
            <w:hideMark/>
          </w:tcPr>
          <w:p w14:paraId="0DC78083" w14:textId="77777777" w:rsidR="00C840C9" w:rsidRPr="00592915" w:rsidRDefault="00C840C9" w:rsidP="00E401B7">
            <w:pPr>
              <w:jc w:val="center"/>
              <w:rPr>
                <w:rFonts w:cs="Arial"/>
                <w:szCs w:val="24"/>
              </w:rPr>
            </w:pPr>
            <w:r>
              <w:rPr>
                <w:rFonts w:cs="Arial"/>
                <w:szCs w:val="24"/>
              </w:rPr>
              <w:t>33.1</w:t>
            </w:r>
          </w:p>
        </w:tc>
        <w:tc>
          <w:tcPr>
            <w:tcW w:w="2901" w:type="dxa"/>
            <w:tcBorders>
              <w:top w:val="single" w:sz="4" w:space="0" w:color="auto"/>
              <w:left w:val="single" w:sz="4" w:space="0" w:color="auto"/>
              <w:bottom w:val="single" w:sz="4" w:space="0" w:color="auto"/>
              <w:right w:val="single" w:sz="4" w:space="0" w:color="auto"/>
            </w:tcBorders>
            <w:hideMark/>
          </w:tcPr>
          <w:p w14:paraId="3999DD88" w14:textId="77777777" w:rsidR="00C840C9" w:rsidRPr="00592915" w:rsidRDefault="00C840C9" w:rsidP="00E401B7">
            <w:pPr>
              <w:jc w:val="center"/>
              <w:rPr>
                <w:rFonts w:cs="Arial"/>
                <w:szCs w:val="24"/>
              </w:rPr>
            </w:pPr>
            <w:r w:rsidRPr="00592915">
              <w:rPr>
                <w:rFonts w:cs="Arial"/>
                <w:szCs w:val="24"/>
              </w:rPr>
              <w:t>16.</w:t>
            </w:r>
            <w:r>
              <w:rPr>
                <w:rFonts w:cs="Arial"/>
                <w:szCs w:val="24"/>
              </w:rPr>
              <w:t>3</w:t>
            </w:r>
            <w:r w:rsidRPr="00592915">
              <w:rPr>
                <w:rFonts w:cs="Arial"/>
                <w:szCs w:val="24"/>
              </w:rPr>
              <w:t>%</w:t>
            </w:r>
          </w:p>
        </w:tc>
      </w:tr>
      <w:tr w:rsidR="00C840C9" w:rsidRPr="00592915" w14:paraId="40F03A2C" w14:textId="77777777" w:rsidTr="00E401B7">
        <w:trPr>
          <w:trHeight w:val="271"/>
        </w:trPr>
        <w:tc>
          <w:tcPr>
            <w:tcW w:w="1937" w:type="dxa"/>
            <w:tcBorders>
              <w:top w:val="single" w:sz="4" w:space="0" w:color="auto"/>
              <w:left w:val="single" w:sz="4" w:space="0" w:color="auto"/>
              <w:bottom w:val="single" w:sz="4" w:space="0" w:color="auto"/>
              <w:right w:val="single" w:sz="4" w:space="0" w:color="auto"/>
            </w:tcBorders>
            <w:hideMark/>
          </w:tcPr>
          <w:p w14:paraId="1BAE21DE" w14:textId="77777777" w:rsidR="00C840C9" w:rsidRPr="00592915" w:rsidRDefault="00C840C9" w:rsidP="00E401B7">
            <w:pPr>
              <w:rPr>
                <w:rFonts w:cs="Arial"/>
                <w:szCs w:val="24"/>
              </w:rPr>
            </w:pPr>
            <w:r w:rsidRPr="00592915">
              <w:rPr>
                <w:rFonts w:cs="Arial"/>
                <w:szCs w:val="24"/>
              </w:rPr>
              <w:t>202</w:t>
            </w:r>
            <w:r>
              <w:rPr>
                <w:rFonts w:cs="Arial"/>
                <w:szCs w:val="24"/>
              </w:rPr>
              <w:t>5/26</w:t>
            </w:r>
          </w:p>
        </w:tc>
        <w:tc>
          <w:tcPr>
            <w:tcW w:w="2749" w:type="dxa"/>
            <w:tcBorders>
              <w:top w:val="single" w:sz="4" w:space="0" w:color="auto"/>
              <w:left w:val="single" w:sz="4" w:space="0" w:color="auto"/>
              <w:bottom w:val="single" w:sz="4" w:space="0" w:color="auto"/>
              <w:right w:val="single" w:sz="4" w:space="0" w:color="auto"/>
            </w:tcBorders>
            <w:hideMark/>
          </w:tcPr>
          <w:p w14:paraId="025613D9" w14:textId="77777777" w:rsidR="00C840C9" w:rsidRPr="00592915" w:rsidRDefault="00C840C9" w:rsidP="00E401B7">
            <w:pPr>
              <w:jc w:val="center"/>
              <w:rPr>
                <w:rFonts w:cs="Arial"/>
                <w:szCs w:val="24"/>
              </w:rPr>
            </w:pPr>
            <w:r w:rsidRPr="00592915">
              <w:rPr>
                <w:rFonts w:cs="Arial"/>
                <w:szCs w:val="24"/>
              </w:rPr>
              <w:t>3</w:t>
            </w:r>
            <w:r>
              <w:rPr>
                <w:rFonts w:cs="Arial"/>
                <w:szCs w:val="24"/>
              </w:rPr>
              <w:t>4.1</w:t>
            </w:r>
          </w:p>
        </w:tc>
        <w:tc>
          <w:tcPr>
            <w:tcW w:w="2901" w:type="dxa"/>
            <w:tcBorders>
              <w:top w:val="single" w:sz="4" w:space="0" w:color="auto"/>
              <w:left w:val="single" w:sz="4" w:space="0" w:color="auto"/>
              <w:bottom w:val="single" w:sz="4" w:space="0" w:color="auto"/>
              <w:right w:val="single" w:sz="4" w:space="0" w:color="auto"/>
            </w:tcBorders>
            <w:hideMark/>
          </w:tcPr>
          <w:p w14:paraId="3B442946" w14:textId="77777777" w:rsidR="00C840C9" w:rsidRPr="00592915" w:rsidRDefault="00C840C9" w:rsidP="00E401B7">
            <w:pPr>
              <w:jc w:val="center"/>
              <w:rPr>
                <w:rFonts w:cs="Arial"/>
                <w:szCs w:val="24"/>
              </w:rPr>
            </w:pPr>
            <w:r w:rsidRPr="00592915">
              <w:rPr>
                <w:rFonts w:cs="Arial"/>
                <w:szCs w:val="24"/>
              </w:rPr>
              <w:t>1</w:t>
            </w:r>
            <w:r>
              <w:rPr>
                <w:rFonts w:cs="Arial"/>
                <w:szCs w:val="24"/>
              </w:rPr>
              <w:t>6.8</w:t>
            </w:r>
            <w:r w:rsidRPr="00592915">
              <w:rPr>
                <w:rFonts w:cs="Arial"/>
                <w:szCs w:val="24"/>
              </w:rPr>
              <w:t>%</w:t>
            </w:r>
          </w:p>
        </w:tc>
      </w:tr>
      <w:tr w:rsidR="00C840C9" w:rsidRPr="00592915" w14:paraId="2AC1E606" w14:textId="77777777" w:rsidTr="00E401B7">
        <w:trPr>
          <w:trHeight w:val="271"/>
        </w:trPr>
        <w:tc>
          <w:tcPr>
            <w:tcW w:w="1937" w:type="dxa"/>
            <w:tcBorders>
              <w:top w:val="single" w:sz="4" w:space="0" w:color="auto"/>
              <w:left w:val="single" w:sz="4" w:space="0" w:color="auto"/>
              <w:bottom w:val="single" w:sz="4" w:space="0" w:color="auto"/>
              <w:right w:val="single" w:sz="4" w:space="0" w:color="auto"/>
            </w:tcBorders>
            <w:hideMark/>
          </w:tcPr>
          <w:p w14:paraId="5AF48F5C" w14:textId="77777777" w:rsidR="00C840C9" w:rsidRPr="00592915" w:rsidRDefault="00C840C9" w:rsidP="00E401B7">
            <w:pPr>
              <w:rPr>
                <w:rFonts w:cs="Arial"/>
                <w:szCs w:val="24"/>
              </w:rPr>
            </w:pPr>
            <w:r w:rsidRPr="00592915">
              <w:rPr>
                <w:rFonts w:cs="Arial"/>
                <w:szCs w:val="24"/>
              </w:rPr>
              <w:t>202</w:t>
            </w:r>
            <w:r>
              <w:rPr>
                <w:rFonts w:cs="Arial"/>
                <w:szCs w:val="24"/>
              </w:rPr>
              <w:t>6/27</w:t>
            </w:r>
          </w:p>
        </w:tc>
        <w:tc>
          <w:tcPr>
            <w:tcW w:w="2749" w:type="dxa"/>
            <w:tcBorders>
              <w:top w:val="single" w:sz="4" w:space="0" w:color="auto"/>
              <w:left w:val="single" w:sz="4" w:space="0" w:color="auto"/>
              <w:bottom w:val="single" w:sz="4" w:space="0" w:color="auto"/>
              <w:right w:val="single" w:sz="4" w:space="0" w:color="auto"/>
            </w:tcBorders>
            <w:hideMark/>
          </w:tcPr>
          <w:p w14:paraId="732CB368" w14:textId="77777777" w:rsidR="00C840C9" w:rsidRPr="00592915" w:rsidRDefault="00C840C9" w:rsidP="00E401B7">
            <w:pPr>
              <w:jc w:val="center"/>
              <w:rPr>
                <w:rFonts w:cs="Arial"/>
                <w:szCs w:val="24"/>
              </w:rPr>
            </w:pPr>
            <w:r w:rsidRPr="00592915">
              <w:rPr>
                <w:rFonts w:cs="Arial"/>
                <w:szCs w:val="24"/>
              </w:rPr>
              <w:t>3</w:t>
            </w:r>
            <w:r>
              <w:rPr>
                <w:rFonts w:cs="Arial"/>
                <w:szCs w:val="24"/>
              </w:rPr>
              <w:t>6.0</w:t>
            </w:r>
          </w:p>
        </w:tc>
        <w:tc>
          <w:tcPr>
            <w:tcW w:w="2901" w:type="dxa"/>
            <w:tcBorders>
              <w:top w:val="single" w:sz="4" w:space="0" w:color="auto"/>
              <w:left w:val="single" w:sz="4" w:space="0" w:color="auto"/>
              <w:bottom w:val="single" w:sz="4" w:space="0" w:color="auto"/>
              <w:right w:val="single" w:sz="4" w:space="0" w:color="auto"/>
            </w:tcBorders>
            <w:hideMark/>
          </w:tcPr>
          <w:p w14:paraId="14EB87B5" w14:textId="77777777" w:rsidR="00C840C9" w:rsidRPr="00592915" w:rsidRDefault="00C840C9" w:rsidP="00E401B7">
            <w:pPr>
              <w:jc w:val="center"/>
              <w:rPr>
                <w:rFonts w:cs="Arial"/>
                <w:szCs w:val="24"/>
              </w:rPr>
            </w:pPr>
            <w:r w:rsidRPr="00592915">
              <w:rPr>
                <w:rFonts w:cs="Arial"/>
                <w:szCs w:val="24"/>
              </w:rPr>
              <w:t>17.</w:t>
            </w:r>
            <w:r>
              <w:rPr>
                <w:rFonts w:cs="Arial"/>
                <w:szCs w:val="24"/>
              </w:rPr>
              <w:t>8</w:t>
            </w:r>
            <w:r w:rsidRPr="00592915">
              <w:rPr>
                <w:rFonts w:cs="Arial"/>
                <w:szCs w:val="24"/>
              </w:rPr>
              <w:t>%</w:t>
            </w:r>
          </w:p>
        </w:tc>
      </w:tr>
      <w:bookmarkEnd w:id="36"/>
    </w:tbl>
    <w:p w14:paraId="6BA241A7" w14:textId="77777777" w:rsidR="00C840C9" w:rsidRPr="00592915" w:rsidRDefault="00C840C9" w:rsidP="00C840C9">
      <w:pPr>
        <w:jc w:val="both"/>
        <w:rPr>
          <w:rFonts w:cs="Arial"/>
        </w:rPr>
      </w:pPr>
    </w:p>
    <w:p w14:paraId="4ABD9CD4" w14:textId="77777777" w:rsidR="00C840C9" w:rsidRPr="00592915" w:rsidRDefault="00C840C9" w:rsidP="00C840C9">
      <w:pPr>
        <w:jc w:val="both"/>
        <w:rPr>
          <w:rFonts w:cs="Arial"/>
          <w:b/>
          <w:bCs/>
        </w:rPr>
      </w:pPr>
    </w:p>
    <w:p w14:paraId="67363FEA" w14:textId="77777777" w:rsidR="00C840C9" w:rsidRPr="00592915" w:rsidRDefault="00C840C9" w:rsidP="00C840C9">
      <w:pPr>
        <w:jc w:val="both"/>
        <w:rPr>
          <w:rFonts w:cs="Arial"/>
          <w:b/>
          <w:bCs/>
        </w:rPr>
      </w:pPr>
      <w:r w:rsidRPr="00592915">
        <w:rPr>
          <w:rFonts w:cs="Arial"/>
          <w:b/>
          <w:bCs/>
        </w:rPr>
        <w:t xml:space="preserve">6. The Purpose of Capital Investment </w:t>
      </w:r>
    </w:p>
    <w:p w14:paraId="273ED81D" w14:textId="77777777" w:rsidR="00C840C9" w:rsidRPr="00592915" w:rsidRDefault="00C840C9" w:rsidP="00C840C9">
      <w:pPr>
        <w:ind w:left="720"/>
        <w:jc w:val="both"/>
        <w:rPr>
          <w:rFonts w:cs="Arial"/>
        </w:rPr>
      </w:pPr>
    </w:p>
    <w:p w14:paraId="30F59DCA" w14:textId="77777777" w:rsidR="00C840C9" w:rsidRPr="00592915" w:rsidRDefault="00C840C9" w:rsidP="00C840C9">
      <w:pPr>
        <w:jc w:val="both"/>
        <w:rPr>
          <w:rFonts w:cs="Arial"/>
        </w:rPr>
      </w:pPr>
      <w:r w:rsidRPr="00592915">
        <w:rPr>
          <w:rFonts w:cs="Arial"/>
        </w:rPr>
        <w:t xml:space="preserve">Investment through capital expenditure may serve </w:t>
      </w:r>
      <w:proofErr w:type="gramStart"/>
      <w:r w:rsidRPr="00592915">
        <w:rPr>
          <w:rFonts w:cs="Arial"/>
        </w:rPr>
        <w:t>a number of</w:t>
      </w:r>
      <w:proofErr w:type="gramEnd"/>
      <w:r w:rsidRPr="00592915">
        <w:rPr>
          <w:rFonts w:cs="Arial"/>
        </w:rPr>
        <w:t xml:space="preserve"> purposes; these can typically be classified as being related to service priorities</w:t>
      </w:r>
      <w:r>
        <w:rPr>
          <w:rFonts w:cs="Arial"/>
        </w:rPr>
        <w:t>, invest-to-save projects, regeneration programme, and the planned improvement of the current investment property portfolio.</w:t>
      </w:r>
    </w:p>
    <w:p w14:paraId="59B30C46" w14:textId="77777777" w:rsidR="00C840C9" w:rsidRPr="00592915" w:rsidRDefault="00C840C9" w:rsidP="00C840C9">
      <w:pPr>
        <w:tabs>
          <w:tab w:val="left" w:pos="851"/>
        </w:tabs>
        <w:jc w:val="both"/>
        <w:rPr>
          <w:rFonts w:cs="Arial"/>
        </w:rPr>
      </w:pPr>
    </w:p>
    <w:p w14:paraId="44EAB49E" w14:textId="77777777" w:rsidR="00C840C9" w:rsidRPr="00592915" w:rsidRDefault="00C840C9" w:rsidP="00C840C9">
      <w:pPr>
        <w:tabs>
          <w:tab w:val="left" w:pos="567"/>
        </w:tabs>
        <w:jc w:val="both"/>
        <w:rPr>
          <w:rFonts w:cs="Arial"/>
        </w:rPr>
      </w:pPr>
      <w:r w:rsidRPr="00592915">
        <w:rPr>
          <w:rFonts w:cs="Arial"/>
          <w:b/>
          <w:bCs/>
        </w:rPr>
        <w:t xml:space="preserve">7. Existing Capital Priorities </w:t>
      </w:r>
    </w:p>
    <w:p w14:paraId="7B1FED68" w14:textId="77777777" w:rsidR="00C840C9" w:rsidRPr="00592915" w:rsidRDefault="00C840C9" w:rsidP="00C840C9">
      <w:pPr>
        <w:tabs>
          <w:tab w:val="num" w:pos="567"/>
          <w:tab w:val="num" w:pos="1985"/>
        </w:tabs>
        <w:jc w:val="both"/>
        <w:rPr>
          <w:rFonts w:cs="Arial"/>
        </w:rPr>
      </w:pPr>
    </w:p>
    <w:p w14:paraId="12E3B116" w14:textId="77777777" w:rsidR="00C840C9" w:rsidRDefault="00C840C9" w:rsidP="00C840C9">
      <w:pPr>
        <w:tabs>
          <w:tab w:val="num" w:pos="567"/>
          <w:tab w:val="num" w:pos="1985"/>
        </w:tabs>
        <w:jc w:val="both"/>
        <w:rPr>
          <w:rFonts w:cs="Arial"/>
        </w:rPr>
      </w:pPr>
      <w:r>
        <w:rPr>
          <w:rFonts w:cs="Arial"/>
        </w:rPr>
        <w:t>Instead of inviting s</w:t>
      </w:r>
      <w:r w:rsidRPr="00592915">
        <w:rPr>
          <w:rFonts w:cs="Arial"/>
        </w:rPr>
        <w:t>ervice directorates to bid for capital resources</w:t>
      </w:r>
      <w:r>
        <w:rPr>
          <w:rFonts w:cs="Arial"/>
        </w:rPr>
        <w:t>, a review was undertaken on the existing Capital Programme and the outcome of which was used to refresh the programme by re-profiling existing budgets where applicable into 2026/27 to form a 3-year Capital Programme in the MTFS. Any new capital allocation for 2026/27 will form part of the 2025/26 budget and MTFS process.</w:t>
      </w:r>
    </w:p>
    <w:p w14:paraId="440D47AC" w14:textId="77777777" w:rsidR="00C840C9" w:rsidRPr="00592915" w:rsidRDefault="00C840C9" w:rsidP="00C840C9">
      <w:pPr>
        <w:tabs>
          <w:tab w:val="num" w:pos="1985"/>
        </w:tabs>
        <w:jc w:val="both"/>
        <w:rPr>
          <w:rFonts w:cs="Arial"/>
        </w:rPr>
      </w:pPr>
    </w:p>
    <w:p w14:paraId="4C83718B" w14:textId="77777777" w:rsidR="00C840C9" w:rsidRPr="00592915" w:rsidRDefault="00C840C9" w:rsidP="00C840C9">
      <w:pPr>
        <w:tabs>
          <w:tab w:val="num" w:pos="567"/>
          <w:tab w:val="num" w:pos="1985"/>
        </w:tabs>
        <w:jc w:val="both"/>
        <w:rPr>
          <w:rFonts w:cs="Arial"/>
        </w:rPr>
      </w:pPr>
      <w:r>
        <w:rPr>
          <w:rFonts w:cs="Arial"/>
        </w:rPr>
        <w:t>The criteria used for the inclusion of any new capital bids remain unchanged from previous years which is for capital to be contained within the following categories</w:t>
      </w:r>
      <w:r w:rsidRPr="00592915">
        <w:rPr>
          <w:rFonts w:cs="Arial"/>
        </w:rPr>
        <w:t xml:space="preserve">: </w:t>
      </w:r>
    </w:p>
    <w:p w14:paraId="69A7B617" w14:textId="77777777" w:rsidR="00C840C9" w:rsidRPr="00592915" w:rsidRDefault="00C840C9" w:rsidP="00C840C9">
      <w:pPr>
        <w:ind w:left="720"/>
        <w:contextualSpacing/>
        <w:jc w:val="both"/>
        <w:rPr>
          <w:rFonts w:cs="Arial"/>
        </w:rPr>
      </w:pPr>
    </w:p>
    <w:p w14:paraId="62016CF7" w14:textId="77777777" w:rsidR="00C840C9" w:rsidRPr="00592915" w:rsidRDefault="00C840C9" w:rsidP="00C840C9">
      <w:pPr>
        <w:numPr>
          <w:ilvl w:val="0"/>
          <w:numId w:val="39"/>
        </w:numPr>
        <w:contextualSpacing/>
        <w:jc w:val="both"/>
        <w:rPr>
          <w:rFonts w:cs="Arial"/>
        </w:rPr>
      </w:pPr>
      <w:r w:rsidRPr="00592915">
        <w:rPr>
          <w:rFonts w:cs="Arial"/>
        </w:rPr>
        <w:t>Life and Limb/Health and Safety.</w:t>
      </w:r>
    </w:p>
    <w:p w14:paraId="6BBE2D0C" w14:textId="77777777" w:rsidR="00C840C9" w:rsidRPr="00592915" w:rsidRDefault="00C840C9" w:rsidP="00C840C9">
      <w:pPr>
        <w:numPr>
          <w:ilvl w:val="0"/>
          <w:numId w:val="39"/>
        </w:numPr>
        <w:contextualSpacing/>
        <w:jc w:val="both"/>
        <w:rPr>
          <w:rFonts w:cs="Arial"/>
        </w:rPr>
      </w:pPr>
      <w:r w:rsidRPr="00592915">
        <w:rPr>
          <w:rFonts w:cs="Arial"/>
        </w:rPr>
        <w:t>Statutory Requirement/legislation.</w:t>
      </w:r>
    </w:p>
    <w:p w14:paraId="79D32615" w14:textId="77777777" w:rsidR="00C840C9" w:rsidRPr="00592915" w:rsidRDefault="00C840C9" w:rsidP="00C840C9">
      <w:pPr>
        <w:numPr>
          <w:ilvl w:val="0"/>
          <w:numId w:val="39"/>
        </w:numPr>
        <w:contextualSpacing/>
        <w:jc w:val="both"/>
        <w:rPr>
          <w:rFonts w:cs="Arial"/>
        </w:rPr>
      </w:pPr>
      <w:r w:rsidRPr="00592915">
        <w:rPr>
          <w:rFonts w:cs="Arial"/>
        </w:rPr>
        <w:t>Schemes fully funded by external sources.</w:t>
      </w:r>
    </w:p>
    <w:p w14:paraId="3468F63B" w14:textId="77777777" w:rsidR="00C840C9" w:rsidRPr="00592915" w:rsidRDefault="00C840C9" w:rsidP="00C840C9">
      <w:pPr>
        <w:numPr>
          <w:ilvl w:val="0"/>
          <w:numId w:val="39"/>
        </w:numPr>
        <w:contextualSpacing/>
        <w:jc w:val="both"/>
        <w:rPr>
          <w:rFonts w:cs="Arial"/>
        </w:rPr>
      </w:pPr>
      <w:r w:rsidRPr="00592915">
        <w:rPr>
          <w:rFonts w:cs="Arial"/>
        </w:rPr>
        <w:t>Invest to Save Schemes (the capital expenditure must generate a revenue stream to cover the capital financing costs and make a net contribution to the MTFS).</w:t>
      </w:r>
    </w:p>
    <w:p w14:paraId="39BAFFFD" w14:textId="77777777" w:rsidR="00C840C9" w:rsidRPr="00592915" w:rsidRDefault="00C840C9" w:rsidP="00C840C9">
      <w:pPr>
        <w:jc w:val="both"/>
        <w:rPr>
          <w:rFonts w:cs="Arial"/>
        </w:rPr>
      </w:pPr>
    </w:p>
    <w:p w14:paraId="55FB5C7C" w14:textId="77777777" w:rsidR="00C840C9" w:rsidRDefault="00C840C9" w:rsidP="00C840C9">
      <w:pPr>
        <w:spacing w:after="100"/>
        <w:jc w:val="both"/>
        <w:rPr>
          <w:rFonts w:cs="Arial"/>
        </w:rPr>
      </w:pPr>
      <w:r>
        <w:rPr>
          <w:rFonts w:cs="Arial"/>
        </w:rPr>
        <w:t xml:space="preserve">In addition, with the approval of the Council’s Corporate Plan, capital investment in the borough aims to support the delivery of our priorities to residents and businesses. The Corporate Plan includes </w:t>
      </w:r>
      <w:proofErr w:type="gramStart"/>
      <w:r>
        <w:rPr>
          <w:rFonts w:cs="Arial"/>
        </w:rPr>
        <w:t>a number of</w:t>
      </w:r>
      <w:proofErr w:type="gramEnd"/>
      <w:r>
        <w:rPr>
          <w:rFonts w:cs="Arial"/>
        </w:rPr>
        <w:t xml:space="preserve"> flagship actions, many of which will be supported by the investment in the Capital Programme.</w:t>
      </w:r>
    </w:p>
    <w:p w14:paraId="2717D724" w14:textId="77777777" w:rsidR="00C840C9" w:rsidRPr="00592915" w:rsidRDefault="00C840C9" w:rsidP="00C840C9">
      <w:pPr>
        <w:spacing w:after="100"/>
        <w:jc w:val="both"/>
        <w:rPr>
          <w:rFonts w:cs="Arial"/>
          <w:i/>
        </w:rPr>
      </w:pPr>
      <w:r w:rsidRPr="00592915">
        <w:rPr>
          <w:rFonts w:cs="Arial"/>
        </w:rPr>
        <w:t>The updated Capital Programme 202</w:t>
      </w:r>
      <w:r>
        <w:rPr>
          <w:rFonts w:cs="Arial"/>
        </w:rPr>
        <w:t>4/25</w:t>
      </w:r>
      <w:r w:rsidRPr="00592915">
        <w:rPr>
          <w:rFonts w:cs="Arial"/>
        </w:rPr>
        <w:t xml:space="preserve"> to 202</w:t>
      </w:r>
      <w:r>
        <w:rPr>
          <w:rFonts w:cs="Arial"/>
        </w:rPr>
        <w:t>6/27</w:t>
      </w:r>
      <w:r w:rsidRPr="00592915">
        <w:rPr>
          <w:rFonts w:cs="Arial"/>
        </w:rPr>
        <w:t xml:space="preserve"> will be approved by Cabinet and Council in February 202</w:t>
      </w:r>
      <w:r>
        <w:rPr>
          <w:rFonts w:cs="Arial"/>
        </w:rPr>
        <w:t>4</w:t>
      </w:r>
      <w:r w:rsidRPr="00592915">
        <w:rPr>
          <w:rFonts w:cs="Arial"/>
        </w:rPr>
        <w:t>.</w:t>
      </w:r>
    </w:p>
    <w:p w14:paraId="58A54E9A" w14:textId="77777777" w:rsidR="00C840C9" w:rsidRPr="00592915" w:rsidRDefault="00C840C9" w:rsidP="00C840C9">
      <w:pPr>
        <w:ind w:hanging="288"/>
        <w:jc w:val="both"/>
        <w:rPr>
          <w:rFonts w:cs="Arial"/>
          <w:b/>
          <w:bCs/>
        </w:rPr>
      </w:pPr>
    </w:p>
    <w:p w14:paraId="58C55192" w14:textId="77777777" w:rsidR="00C840C9" w:rsidRPr="00592915" w:rsidRDefault="00C840C9" w:rsidP="00C840C9">
      <w:pPr>
        <w:jc w:val="both"/>
        <w:rPr>
          <w:rFonts w:cs="Arial"/>
          <w:b/>
          <w:bCs/>
        </w:rPr>
      </w:pPr>
      <w:r w:rsidRPr="00592915">
        <w:rPr>
          <w:rFonts w:cs="Arial"/>
          <w:b/>
          <w:bCs/>
        </w:rPr>
        <w:t xml:space="preserve">8. Use of Commercial Investment </w:t>
      </w:r>
    </w:p>
    <w:p w14:paraId="24D72FE6" w14:textId="77777777" w:rsidR="00C840C9" w:rsidRPr="00592915" w:rsidRDefault="00C840C9" w:rsidP="00C840C9">
      <w:pPr>
        <w:jc w:val="both"/>
        <w:rPr>
          <w:rFonts w:cs="Arial"/>
        </w:rPr>
      </w:pPr>
    </w:p>
    <w:p w14:paraId="6E554692" w14:textId="77777777" w:rsidR="00C840C9" w:rsidRPr="00592915" w:rsidRDefault="00C840C9" w:rsidP="00C840C9">
      <w:pPr>
        <w:jc w:val="both"/>
        <w:rPr>
          <w:rFonts w:cs="Arial"/>
        </w:rPr>
      </w:pPr>
      <w:r w:rsidRPr="00592915">
        <w:rPr>
          <w:rFonts w:cs="Arial"/>
        </w:rPr>
        <w:t>The Council took its Investment Property Strategy to Council in December 2015. Under this strategy the Council has incurred £51.1m of capital expenditure to 31 March 202</w:t>
      </w:r>
      <w:r>
        <w:rPr>
          <w:rFonts w:cs="Arial"/>
        </w:rPr>
        <w:t>3</w:t>
      </w:r>
      <w:r w:rsidRPr="00592915">
        <w:rPr>
          <w:rFonts w:cs="Arial"/>
        </w:rPr>
        <w:t xml:space="preserve"> on commercial investments. The Council </w:t>
      </w:r>
      <w:r w:rsidRPr="00592915">
        <w:rPr>
          <w:rFonts w:cs="Arial"/>
        </w:rPr>
        <w:lastRenderedPageBreak/>
        <w:t>acquired 7 Commercial properties, 6 of them are located outside of Harrow Borough and one in Harrow Town Centre. There is no further Capital for Commercial Investments in the Capital Programme to be approved by Council in February 202</w:t>
      </w:r>
      <w:r>
        <w:rPr>
          <w:rFonts w:cs="Arial"/>
        </w:rPr>
        <w:t>4</w:t>
      </w:r>
      <w:r w:rsidRPr="00592915">
        <w:rPr>
          <w:rFonts w:cs="Arial"/>
        </w:rPr>
        <w:t>.</w:t>
      </w:r>
    </w:p>
    <w:p w14:paraId="58813BD5" w14:textId="77777777" w:rsidR="00C840C9" w:rsidRPr="00592915" w:rsidRDefault="00C840C9" w:rsidP="00C840C9">
      <w:pPr>
        <w:jc w:val="both"/>
        <w:rPr>
          <w:rFonts w:cs="Arial"/>
          <w:b/>
          <w:bCs/>
        </w:rPr>
      </w:pPr>
    </w:p>
    <w:p w14:paraId="70E150B0" w14:textId="77777777" w:rsidR="00C840C9" w:rsidRPr="00592915" w:rsidRDefault="00C840C9" w:rsidP="00C840C9">
      <w:pPr>
        <w:jc w:val="both"/>
        <w:rPr>
          <w:rFonts w:cs="Arial"/>
        </w:rPr>
      </w:pPr>
      <w:r w:rsidRPr="00592915">
        <w:rPr>
          <w:rFonts w:cs="Arial"/>
          <w:b/>
          <w:bCs/>
        </w:rPr>
        <w:t xml:space="preserve">9. Asset Management </w:t>
      </w:r>
    </w:p>
    <w:p w14:paraId="0EE168E0" w14:textId="77777777" w:rsidR="00C840C9" w:rsidRPr="00592915" w:rsidRDefault="00C840C9" w:rsidP="00C840C9">
      <w:pPr>
        <w:jc w:val="both"/>
        <w:rPr>
          <w:rFonts w:cs="Arial"/>
        </w:rPr>
      </w:pPr>
    </w:p>
    <w:p w14:paraId="78811371" w14:textId="77777777" w:rsidR="00C840C9" w:rsidRPr="00592915" w:rsidRDefault="00C840C9" w:rsidP="00C840C9">
      <w:pPr>
        <w:jc w:val="both"/>
        <w:rPr>
          <w:rFonts w:cs="Arial"/>
        </w:rPr>
      </w:pPr>
      <w:r w:rsidRPr="00592915">
        <w:rPr>
          <w:rFonts w:cs="Arial"/>
        </w:rPr>
        <w:t xml:space="preserve">Asset Management is the process by which the authority considers whether its assets are appropriate to deliver the high-quality services demanded by residents. This process may identify </w:t>
      </w:r>
      <w:proofErr w:type="gramStart"/>
      <w:r w:rsidRPr="00592915">
        <w:rPr>
          <w:rFonts w:cs="Arial"/>
        </w:rPr>
        <w:t>a number of</w:t>
      </w:r>
      <w:proofErr w:type="gramEnd"/>
      <w:r w:rsidRPr="00592915">
        <w:rPr>
          <w:rFonts w:cs="Arial"/>
        </w:rPr>
        <w:t xml:space="preserve"> different outcomes for assets including:</w:t>
      </w:r>
    </w:p>
    <w:p w14:paraId="0AD3CD7D" w14:textId="77777777" w:rsidR="00C840C9" w:rsidRPr="00592915" w:rsidRDefault="00C840C9" w:rsidP="00C840C9">
      <w:pPr>
        <w:jc w:val="both"/>
        <w:rPr>
          <w:rFonts w:cs="Arial"/>
        </w:rPr>
      </w:pPr>
      <w:r w:rsidRPr="00592915">
        <w:rPr>
          <w:rFonts w:cs="Arial"/>
        </w:rPr>
        <w:t xml:space="preserve"> </w:t>
      </w:r>
    </w:p>
    <w:p w14:paraId="7A7EFC90" w14:textId="77777777" w:rsidR="00C840C9" w:rsidRPr="00592915" w:rsidRDefault="00C840C9" w:rsidP="00C840C9">
      <w:pPr>
        <w:numPr>
          <w:ilvl w:val="1"/>
          <w:numId w:val="40"/>
        </w:numPr>
        <w:spacing w:after="200" w:line="276" w:lineRule="auto"/>
        <w:ind w:left="709" w:hanging="283"/>
        <w:jc w:val="both"/>
        <w:rPr>
          <w:rFonts w:cs="Arial"/>
        </w:rPr>
      </w:pPr>
      <w:r w:rsidRPr="00592915">
        <w:rPr>
          <w:rFonts w:cs="Arial"/>
        </w:rPr>
        <w:t xml:space="preserve">Change in use to meet the demands of a </w:t>
      </w:r>
      <w:proofErr w:type="gramStart"/>
      <w:r w:rsidRPr="00592915">
        <w:rPr>
          <w:rFonts w:cs="Arial"/>
        </w:rPr>
        <w:t>service</w:t>
      </w:r>
      <w:proofErr w:type="gramEnd"/>
      <w:r w:rsidRPr="00592915">
        <w:rPr>
          <w:rFonts w:cs="Arial"/>
        </w:rPr>
        <w:t xml:space="preserve"> </w:t>
      </w:r>
    </w:p>
    <w:p w14:paraId="74AC1D71" w14:textId="77777777" w:rsidR="00C840C9" w:rsidRPr="00592915" w:rsidRDefault="00C840C9" w:rsidP="00C840C9">
      <w:pPr>
        <w:tabs>
          <w:tab w:val="num" w:pos="709"/>
        </w:tabs>
        <w:spacing w:after="200" w:line="276" w:lineRule="auto"/>
        <w:ind w:firstLine="426"/>
        <w:jc w:val="both"/>
        <w:rPr>
          <w:rFonts w:cs="Arial"/>
        </w:rPr>
      </w:pPr>
      <w:r w:rsidRPr="00592915">
        <w:rPr>
          <w:rFonts w:cs="Arial"/>
        </w:rPr>
        <w:t xml:space="preserve">2. Investment is required to improve the condition of an asset </w:t>
      </w:r>
    </w:p>
    <w:p w14:paraId="09F25F15" w14:textId="77777777" w:rsidR="00C840C9" w:rsidRPr="00592915" w:rsidRDefault="00C840C9" w:rsidP="00C840C9">
      <w:pPr>
        <w:numPr>
          <w:ilvl w:val="1"/>
          <w:numId w:val="40"/>
        </w:numPr>
        <w:tabs>
          <w:tab w:val="num" w:pos="709"/>
        </w:tabs>
        <w:spacing w:after="200" w:line="276" w:lineRule="auto"/>
        <w:ind w:left="709" w:hanging="283"/>
        <w:jc w:val="both"/>
        <w:rPr>
          <w:rFonts w:cs="Arial"/>
        </w:rPr>
      </w:pPr>
      <w:r w:rsidRPr="00592915">
        <w:rPr>
          <w:rFonts w:cs="Arial"/>
        </w:rPr>
        <w:t xml:space="preserve">A new asset is required to better meet the Council </w:t>
      </w:r>
      <w:proofErr w:type="gramStart"/>
      <w:r w:rsidRPr="00592915">
        <w:rPr>
          <w:rFonts w:cs="Arial"/>
        </w:rPr>
        <w:t>priorities</w:t>
      </w:r>
      <w:proofErr w:type="gramEnd"/>
      <w:r w:rsidRPr="00592915">
        <w:rPr>
          <w:rFonts w:cs="Arial"/>
        </w:rPr>
        <w:t xml:space="preserve"> </w:t>
      </w:r>
    </w:p>
    <w:p w14:paraId="323652D1" w14:textId="77777777" w:rsidR="00C840C9" w:rsidRPr="00592915" w:rsidRDefault="00C840C9" w:rsidP="00C840C9">
      <w:pPr>
        <w:numPr>
          <w:ilvl w:val="1"/>
          <w:numId w:val="40"/>
        </w:numPr>
        <w:tabs>
          <w:tab w:val="num" w:pos="709"/>
        </w:tabs>
        <w:spacing w:after="200" w:line="276" w:lineRule="auto"/>
        <w:ind w:left="709" w:hanging="283"/>
        <w:jc w:val="both"/>
        <w:rPr>
          <w:rFonts w:cs="Arial"/>
        </w:rPr>
      </w:pPr>
      <w:r w:rsidRPr="00592915">
        <w:rPr>
          <w:rFonts w:cs="Arial"/>
        </w:rPr>
        <w:t xml:space="preserve">The need to dispose of the asset to realise its value in monetary </w:t>
      </w:r>
      <w:proofErr w:type="gramStart"/>
      <w:r w:rsidRPr="00592915">
        <w:rPr>
          <w:rFonts w:cs="Arial"/>
        </w:rPr>
        <w:t>terms</w:t>
      </w:r>
      <w:proofErr w:type="gramEnd"/>
      <w:r w:rsidRPr="00592915">
        <w:rPr>
          <w:rFonts w:cs="Arial"/>
        </w:rPr>
        <w:t xml:space="preserve"> </w:t>
      </w:r>
    </w:p>
    <w:p w14:paraId="6913D984" w14:textId="77777777" w:rsidR="00C840C9" w:rsidRPr="00592915" w:rsidRDefault="00C840C9" w:rsidP="00C840C9">
      <w:pPr>
        <w:jc w:val="both"/>
        <w:rPr>
          <w:rFonts w:cs="Arial"/>
        </w:rPr>
      </w:pPr>
      <w:r w:rsidRPr="00592915">
        <w:rPr>
          <w:rFonts w:cs="Arial"/>
        </w:rPr>
        <w:t xml:space="preserve">The Council will use active asset management to consider both its current asset base and its future asset base. The capital programme will be used to bridge the gap to ensure that the authority has sufficient assets in the long term. </w:t>
      </w:r>
    </w:p>
    <w:p w14:paraId="398C82A2" w14:textId="77777777" w:rsidR="00C840C9" w:rsidRPr="00592915" w:rsidRDefault="00C840C9" w:rsidP="00C840C9">
      <w:pPr>
        <w:jc w:val="both"/>
        <w:rPr>
          <w:rFonts w:cs="Arial"/>
        </w:rPr>
      </w:pPr>
    </w:p>
    <w:p w14:paraId="5E7C46FC" w14:textId="77777777" w:rsidR="00C840C9" w:rsidRPr="00592915" w:rsidRDefault="00C840C9" w:rsidP="00C840C9">
      <w:pPr>
        <w:jc w:val="both"/>
        <w:rPr>
          <w:rFonts w:cs="Arial"/>
        </w:rPr>
      </w:pPr>
      <w:r w:rsidRPr="00592915">
        <w:rPr>
          <w:rFonts w:cs="Arial"/>
          <w:b/>
          <w:bCs/>
        </w:rPr>
        <w:t xml:space="preserve">10. Capital Disposals </w:t>
      </w:r>
    </w:p>
    <w:p w14:paraId="60BC0BFC" w14:textId="77777777" w:rsidR="00C840C9" w:rsidRPr="00592915" w:rsidRDefault="00C840C9" w:rsidP="00C840C9">
      <w:pPr>
        <w:jc w:val="both"/>
        <w:rPr>
          <w:rFonts w:cs="Arial"/>
        </w:rPr>
      </w:pPr>
    </w:p>
    <w:p w14:paraId="2924A59B" w14:textId="77777777" w:rsidR="00C840C9" w:rsidRPr="00592915" w:rsidRDefault="00C840C9" w:rsidP="00C840C9">
      <w:pPr>
        <w:jc w:val="both"/>
        <w:rPr>
          <w:rFonts w:cs="Arial"/>
        </w:rPr>
      </w:pPr>
      <w:r w:rsidRPr="00592915">
        <w:rPr>
          <w:rFonts w:cs="Arial"/>
        </w:rPr>
        <w:t xml:space="preserve">The asset management process may determine that the value of an asset is best realised through disposal. Sale of assets should be through an open market process to determine the best value. </w:t>
      </w:r>
    </w:p>
    <w:p w14:paraId="7DF1E3BA" w14:textId="77777777" w:rsidR="00C840C9" w:rsidRPr="00592915" w:rsidRDefault="00C840C9" w:rsidP="00C840C9">
      <w:pPr>
        <w:jc w:val="both"/>
        <w:rPr>
          <w:rFonts w:cs="Arial"/>
        </w:rPr>
      </w:pPr>
    </w:p>
    <w:p w14:paraId="43BA4E28" w14:textId="77777777" w:rsidR="00C840C9" w:rsidRPr="00592915" w:rsidRDefault="00C840C9" w:rsidP="00C840C9">
      <w:pPr>
        <w:jc w:val="both"/>
        <w:rPr>
          <w:rFonts w:cs="Arial"/>
        </w:rPr>
      </w:pPr>
      <w:r w:rsidRPr="00592915">
        <w:rPr>
          <w:rFonts w:cs="Arial"/>
        </w:rPr>
        <w:t xml:space="preserve">Cash received from a sale of a property is a capital receipt. The use of these funds is restricted to purchasing new assets or repayment of existing debt. The Council will not make decisions about the ring-fencing of capital receipts before amounts are known and the use of such receipts has been considered in the light of the Council’s overall financial position. </w:t>
      </w:r>
    </w:p>
    <w:p w14:paraId="5D552A79" w14:textId="77777777" w:rsidR="00C840C9" w:rsidRPr="00592915" w:rsidRDefault="00C840C9" w:rsidP="00C840C9">
      <w:pPr>
        <w:jc w:val="both"/>
        <w:rPr>
          <w:rFonts w:cs="Arial"/>
        </w:rPr>
      </w:pPr>
    </w:p>
    <w:p w14:paraId="274B4AE9" w14:textId="77777777" w:rsidR="00C840C9" w:rsidRPr="00592915" w:rsidRDefault="00C840C9" w:rsidP="00C840C9">
      <w:pPr>
        <w:jc w:val="both"/>
        <w:rPr>
          <w:rFonts w:cs="Arial"/>
          <w:b/>
          <w:bCs/>
        </w:rPr>
      </w:pPr>
      <w:r w:rsidRPr="00592915">
        <w:rPr>
          <w:rFonts w:cs="Arial"/>
        </w:rPr>
        <w:t xml:space="preserve">The existing General Fund capital programme includes a limited amount of capital receipts in relation to two regeneration schemes – Haslam House and </w:t>
      </w:r>
      <w:proofErr w:type="spellStart"/>
      <w:r w:rsidRPr="00592915">
        <w:rPr>
          <w:rFonts w:cs="Arial"/>
        </w:rPr>
        <w:t>Waxwell</w:t>
      </w:r>
      <w:proofErr w:type="spellEnd"/>
      <w:r w:rsidRPr="00592915">
        <w:rPr>
          <w:rFonts w:cs="Arial"/>
        </w:rPr>
        <w:t xml:space="preserve"> Lane.   The HRA capital programme includes assumptions on levels of right to buy receipts as well as other capital receipts. </w:t>
      </w:r>
    </w:p>
    <w:p w14:paraId="0E859627" w14:textId="77777777" w:rsidR="00C840C9" w:rsidRPr="00592915" w:rsidRDefault="00C840C9" w:rsidP="00C840C9">
      <w:pPr>
        <w:jc w:val="both"/>
        <w:rPr>
          <w:rFonts w:cs="Arial"/>
          <w:b/>
          <w:bCs/>
        </w:rPr>
      </w:pPr>
    </w:p>
    <w:p w14:paraId="35DE10EA" w14:textId="77777777" w:rsidR="00C840C9" w:rsidRPr="00592915" w:rsidRDefault="00C840C9" w:rsidP="00C840C9">
      <w:pPr>
        <w:jc w:val="both"/>
        <w:rPr>
          <w:rFonts w:cs="Arial"/>
        </w:rPr>
      </w:pPr>
      <w:r w:rsidRPr="00592915">
        <w:rPr>
          <w:rFonts w:cs="Arial"/>
          <w:b/>
          <w:bCs/>
        </w:rPr>
        <w:t xml:space="preserve">11.Multi-Year Capital Projects </w:t>
      </w:r>
    </w:p>
    <w:p w14:paraId="233BA412" w14:textId="77777777" w:rsidR="00C840C9" w:rsidRPr="00592915" w:rsidRDefault="00C840C9" w:rsidP="00C840C9">
      <w:pPr>
        <w:jc w:val="both"/>
        <w:rPr>
          <w:rFonts w:cs="Arial"/>
        </w:rPr>
      </w:pPr>
    </w:p>
    <w:p w14:paraId="42120FD2" w14:textId="77777777" w:rsidR="00C840C9" w:rsidRDefault="00C840C9" w:rsidP="00C840C9">
      <w:pPr>
        <w:jc w:val="both"/>
        <w:rPr>
          <w:rFonts w:cs="Arial"/>
        </w:rPr>
      </w:pPr>
      <w:r w:rsidRPr="00592915">
        <w:rPr>
          <w:rFonts w:cs="Arial"/>
        </w:rPr>
        <w:t xml:space="preserve">Capital projects deliver assets which will provide services and/or income to the Council for </w:t>
      </w:r>
      <w:proofErr w:type="gramStart"/>
      <w:r w:rsidRPr="00592915">
        <w:rPr>
          <w:rFonts w:cs="Arial"/>
        </w:rPr>
        <w:t>a number of</w:t>
      </w:r>
      <w:proofErr w:type="gramEnd"/>
      <w:r w:rsidRPr="00592915">
        <w:rPr>
          <w:rFonts w:cs="Arial"/>
        </w:rPr>
        <w:t xml:space="preserve"> years. As a result of the significance and complexity of a number of these projects they may take </w:t>
      </w:r>
      <w:proofErr w:type="gramStart"/>
      <w:r w:rsidRPr="00592915">
        <w:rPr>
          <w:rFonts w:cs="Arial"/>
        </w:rPr>
        <w:t>a number of</w:t>
      </w:r>
      <w:proofErr w:type="gramEnd"/>
      <w:r w:rsidRPr="00592915">
        <w:rPr>
          <w:rFonts w:cs="Arial"/>
        </w:rPr>
        <w:t xml:space="preserve"> years to plan and deliver. </w:t>
      </w:r>
    </w:p>
    <w:p w14:paraId="49F5B77E" w14:textId="77777777" w:rsidR="00C840C9" w:rsidRPr="00592915" w:rsidRDefault="00C840C9" w:rsidP="00C840C9">
      <w:pPr>
        <w:jc w:val="both"/>
        <w:rPr>
          <w:rFonts w:cs="Arial"/>
        </w:rPr>
      </w:pPr>
    </w:p>
    <w:p w14:paraId="728D2C32" w14:textId="77777777" w:rsidR="00C840C9" w:rsidRPr="00592915" w:rsidRDefault="00C840C9" w:rsidP="00C840C9">
      <w:pPr>
        <w:jc w:val="both"/>
        <w:rPr>
          <w:rFonts w:cs="Arial"/>
        </w:rPr>
      </w:pPr>
      <w:r w:rsidRPr="00592915">
        <w:rPr>
          <w:rFonts w:cs="Arial"/>
        </w:rPr>
        <w:t xml:space="preserve">When setting the Capital Programme Council will approve the schemes to be included, the budget for their delivery and the timescale in which they are to be achieved. Unless schemes have clearly defined development and delivery phases with separate objectives, budgets and timescales Council should be asked to approve a budget to cover the whole of the project being delivered. </w:t>
      </w:r>
      <w:r w:rsidRPr="00592915">
        <w:rPr>
          <w:rFonts w:cs="Arial"/>
        </w:rPr>
        <w:lastRenderedPageBreak/>
        <w:t xml:space="preserve">Approval of the entire budget at the point of inception gives certainty for the project and assists officers in ensuring delivery. </w:t>
      </w:r>
    </w:p>
    <w:p w14:paraId="2CE568AF" w14:textId="77777777" w:rsidR="00C840C9" w:rsidRPr="00592915" w:rsidRDefault="00C840C9" w:rsidP="00C840C9">
      <w:pPr>
        <w:jc w:val="both"/>
        <w:rPr>
          <w:rFonts w:cs="Arial"/>
        </w:rPr>
      </w:pPr>
    </w:p>
    <w:p w14:paraId="77EDD86A" w14:textId="77777777" w:rsidR="00C840C9" w:rsidRPr="00592915" w:rsidRDefault="00C840C9" w:rsidP="00C840C9">
      <w:pPr>
        <w:jc w:val="both"/>
        <w:rPr>
          <w:rFonts w:cs="Arial"/>
        </w:rPr>
      </w:pPr>
      <w:r w:rsidRPr="00592915">
        <w:rPr>
          <w:rFonts w:cs="Arial"/>
        </w:rPr>
        <w:t xml:space="preserve">The budget for approval will include an expected cash flow projection showing how much of the anticipated project budget will be incurred in each year of the Capital Programme. Any variations in timing of cash flows between years will be reported as part of the budget monitoring process. This should be regarded as part of the normal development of a capital project. </w:t>
      </w:r>
    </w:p>
    <w:p w14:paraId="7A944859" w14:textId="77777777" w:rsidR="00C840C9" w:rsidRPr="00592915" w:rsidRDefault="00C840C9" w:rsidP="00C840C9">
      <w:pPr>
        <w:jc w:val="both"/>
        <w:rPr>
          <w:rFonts w:cs="Arial"/>
          <w:b/>
          <w:bCs/>
        </w:rPr>
      </w:pPr>
    </w:p>
    <w:p w14:paraId="25A889A0" w14:textId="77777777" w:rsidR="00C840C9" w:rsidRPr="00592915" w:rsidRDefault="00C840C9" w:rsidP="00C840C9">
      <w:pPr>
        <w:jc w:val="both"/>
        <w:rPr>
          <w:rFonts w:cs="Arial"/>
          <w:b/>
          <w:bCs/>
        </w:rPr>
      </w:pPr>
      <w:bookmarkStart w:id="37" w:name="_Hlk126776960"/>
      <w:r w:rsidRPr="00592915">
        <w:rPr>
          <w:rFonts w:cs="Arial"/>
          <w:b/>
          <w:bCs/>
        </w:rPr>
        <w:t xml:space="preserve">12.Use of capital receipt flexibilities </w:t>
      </w:r>
    </w:p>
    <w:p w14:paraId="4DB48C60" w14:textId="77777777" w:rsidR="00C840C9" w:rsidRPr="00592915" w:rsidRDefault="00C840C9" w:rsidP="00C840C9">
      <w:pPr>
        <w:jc w:val="both"/>
        <w:rPr>
          <w:rFonts w:cs="Arial"/>
        </w:rPr>
      </w:pPr>
    </w:p>
    <w:p w14:paraId="227A2322" w14:textId="77777777" w:rsidR="00C840C9" w:rsidRPr="00592915" w:rsidRDefault="00C840C9" w:rsidP="00C840C9">
      <w:r w:rsidRPr="00592915">
        <w:rPr>
          <w:rFonts w:cs="Arial"/>
        </w:rPr>
        <w:t xml:space="preserve">In the Spending Review 2015, it was announced that to support local authorities to deliver more efficient and sustainable services, the government will allow local authorities to send up to 100% of their fixed asset receipts on the revenue costs of reform projects. </w:t>
      </w:r>
    </w:p>
    <w:p w14:paraId="42A2842D" w14:textId="77777777" w:rsidR="00C840C9" w:rsidRPr="00592915" w:rsidRDefault="00C840C9" w:rsidP="00C840C9"/>
    <w:p w14:paraId="6FB58E5B" w14:textId="77777777" w:rsidR="00C840C9" w:rsidRPr="00592915" w:rsidRDefault="00C840C9" w:rsidP="00C840C9">
      <w:r w:rsidRPr="00942FAA">
        <w:t xml:space="preserve">The flexibility was initially offered to the sector for the three financial years 2016/17 to 2018/19. In December 2017, the Secretary of State announced, alongside the provisional local government finance settlement, the continuation of the capital receipts flexibility programme for a further three years, covering 2019/20 to 2021/22.  The flexibility has been extended on numerous occasions. </w:t>
      </w:r>
      <w:r w:rsidRPr="00B67A7C">
        <w:rPr>
          <w:rFonts w:cs="Arial"/>
        </w:rPr>
        <w:t>In December 2023, the government announced the extension of this scheme to March 2030 and would also explore additional capital flexibility options to enable invest-to-save and transformation initiatives. There is currently a consultation on these options which will close on 31 January 2024.</w:t>
      </w:r>
      <w:r w:rsidRPr="00B67A7C">
        <w:t xml:space="preserve">  </w:t>
      </w:r>
    </w:p>
    <w:p w14:paraId="23233B5C" w14:textId="77777777" w:rsidR="00C840C9" w:rsidRPr="00592915" w:rsidRDefault="00C840C9" w:rsidP="00C840C9"/>
    <w:p w14:paraId="19A90D78" w14:textId="77777777" w:rsidR="00C840C9" w:rsidRPr="00592915" w:rsidRDefault="00C840C9" w:rsidP="00C840C9">
      <w:r w:rsidRPr="00592915">
        <w:t>Qualifying expenditure is expenditure on any project that is designed to generate ongoing revenue savings in the delivery of public services and/or transform service delivery to reduce costs and/or transform service delivery in a way that reduces costs or demand for services in future years for any of the public sector delivery partners.</w:t>
      </w:r>
    </w:p>
    <w:p w14:paraId="05766E4B" w14:textId="77777777" w:rsidR="00C840C9" w:rsidRPr="00592915" w:rsidRDefault="00C840C9" w:rsidP="00C840C9">
      <w:pPr>
        <w:rPr>
          <w:b/>
        </w:rPr>
      </w:pPr>
    </w:p>
    <w:p w14:paraId="2B71E17A" w14:textId="77777777" w:rsidR="00C840C9" w:rsidRPr="00592915" w:rsidRDefault="00C840C9" w:rsidP="00C840C9">
      <w:r w:rsidRPr="00592915">
        <w:t>Local authorities are given the power to use capital receipts from the disposal of property, plant and equipment assets received in the years in which this flexibility is offered, to spend up to 100% of their fixed asset receipts (excluding Right to Buy receipts) on the revenue costs of reform projects.  Local Authorities may not use their existing stock of capital receipts to finance the revenue costs of reform.</w:t>
      </w:r>
    </w:p>
    <w:p w14:paraId="4AE3E1EE" w14:textId="77777777" w:rsidR="00C840C9" w:rsidRPr="00592915" w:rsidRDefault="00C840C9" w:rsidP="00C840C9">
      <w:pPr>
        <w:jc w:val="both"/>
        <w:rPr>
          <w:rFonts w:cs="Arial"/>
        </w:rPr>
      </w:pPr>
    </w:p>
    <w:p w14:paraId="235F54C9" w14:textId="77777777" w:rsidR="00C840C9" w:rsidRPr="00592915" w:rsidRDefault="00C840C9" w:rsidP="00C840C9">
      <w:pPr>
        <w:jc w:val="both"/>
        <w:rPr>
          <w:rFonts w:cs="Arial"/>
        </w:rPr>
      </w:pPr>
      <w:r w:rsidRPr="00592915">
        <w:rPr>
          <w:rFonts w:cs="Arial"/>
        </w:rPr>
        <w:t xml:space="preserve">The Council signified its intent to make use of this flexibility in its final budget report to Cabinet and Council in February 2016 and has continued to do so as part of the Annual Budget Setting process </w:t>
      </w:r>
      <w:proofErr w:type="gramStart"/>
      <w:r w:rsidRPr="00592915">
        <w:rPr>
          <w:rFonts w:cs="Arial"/>
        </w:rPr>
        <w:t>in order to</w:t>
      </w:r>
      <w:proofErr w:type="gramEnd"/>
      <w:r w:rsidRPr="00592915">
        <w:rPr>
          <w:rFonts w:cs="Arial"/>
        </w:rPr>
        <w:t xml:space="preserve"> provide the Council with the flexibility should it be needed.  To date, the following use has been made of capital flexibilities:</w:t>
      </w:r>
    </w:p>
    <w:p w14:paraId="1B445706" w14:textId="77777777" w:rsidR="00C840C9" w:rsidRPr="00592915" w:rsidRDefault="00C840C9" w:rsidP="00C840C9">
      <w:pPr>
        <w:jc w:val="both"/>
        <w:rPr>
          <w:rFonts w:cs="Arial"/>
        </w:rPr>
      </w:pPr>
    </w:p>
    <w:p w14:paraId="27CB36E8" w14:textId="77777777" w:rsidR="00C840C9" w:rsidRPr="00592915" w:rsidRDefault="00C840C9" w:rsidP="00C840C9">
      <w:pPr>
        <w:jc w:val="both"/>
        <w:rPr>
          <w:rFonts w:cs="Arial"/>
        </w:rPr>
      </w:pPr>
      <w:r w:rsidRPr="00321CD5">
        <w:rPr>
          <w:rFonts w:cs="Arial"/>
          <w:noProof/>
        </w:rPr>
        <w:drawing>
          <wp:inline distT="0" distB="0" distL="0" distR="0" wp14:anchorId="3CA3AAA4" wp14:editId="6DD61E42">
            <wp:extent cx="1682750" cy="8959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82750" cy="895985"/>
                    </a:xfrm>
                    <a:prstGeom prst="rect">
                      <a:avLst/>
                    </a:prstGeom>
                    <a:noFill/>
                  </pic:spPr>
                </pic:pic>
              </a:graphicData>
            </a:graphic>
          </wp:inline>
        </w:drawing>
      </w:r>
    </w:p>
    <w:p w14:paraId="3A061ED3" w14:textId="77777777" w:rsidR="00C840C9" w:rsidRPr="00592915" w:rsidRDefault="00C840C9" w:rsidP="00C840C9">
      <w:pPr>
        <w:jc w:val="both"/>
      </w:pPr>
    </w:p>
    <w:p w14:paraId="17D95581" w14:textId="77777777" w:rsidR="00C840C9" w:rsidRDefault="00C840C9" w:rsidP="00C840C9">
      <w:pPr>
        <w:jc w:val="both"/>
      </w:pPr>
      <w:r w:rsidRPr="00592915">
        <w:lastRenderedPageBreak/>
        <w:t>The MTFS 202</w:t>
      </w:r>
      <w:r>
        <w:t>4/25</w:t>
      </w:r>
      <w:r w:rsidRPr="00592915">
        <w:t xml:space="preserve"> to 202</w:t>
      </w:r>
      <w:r>
        <w:t>6/27</w:t>
      </w:r>
      <w:r w:rsidRPr="00592915">
        <w:t xml:space="preserve"> includes a budget of £1.250m to fund the Regeneration Team</w:t>
      </w:r>
      <w:r w:rsidRPr="001B6C74">
        <w:t>.  The nature of this spend meets the capital flexibility criteria and the team will be funded under the capital flexibilities scheme in 2024/25 and 2025/26. This</w:t>
      </w:r>
      <w:r>
        <w:t xml:space="preserve"> </w:t>
      </w:r>
      <w:r w:rsidRPr="00CB643E">
        <w:rPr>
          <w:rFonts w:cs="Arial"/>
        </w:rPr>
        <w:t xml:space="preserve">will be reviewed as part of the 2025/26 budget process as there will be more information on additional capital flexibility options </w:t>
      </w:r>
      <w:r>
        <w:rPr>
          <w:rFonts w:cs="Arial"/>
        </w:rPr>
        <w:t>following the consultation as detailed below.</w:t>
      </w:r>
      <w:r>
        <w:t xml:space="preserve"> </w:t>
      </w:r>
      <w:r w:rsidRPr="00592915">
        <w:t xml:space="preserve"> </w:t>
      </w:r>
      <w:bookmarkEnd w:id="37"/>
    </w:p>
    <w:p w14:paraId="07B1E8F8" w14:textId="77777777" w:rsidR="00C840C9" w:rsidRDefault="00C840C9" w:rsidP="00C840C9">
      <w:pPr>
        <w:jc w:val="both"/>
      </w:pPr>
    </w:p>
    <w:p w14:paraId="4F4320EC" w14:textId="77777777" w:rsidR="00C840C9" w:rsidRPr="00D86C60" w:rsidRDefault="00C840C9" w:rsidP="00C840C9">
      <w:pPr>
        <w:jc w:val="both"/>
        <w:rPr>
          <w:rFonts w:cs="Arial"/>
        </w:rPr>
      </w:pPr>
      <w:r>
        <w:t>The Department for Levelling Up, Housing and Communities (DLUHC) has recently published a call for views on new local authority capital flexibilities, which include a set of options with respect to capital flexibilities and borrowing, to be managed locally, that could be used to encourage and enable local authorities to invest in ways that reduce the cost of service delivery and provide more local levers to manage financial resources. T</w:t>
      </w:r>
      <w:r w:rsidRPr="00D86C60">
        <w:rPr>
          <w:rFonts w:cs="Arial"/>
        </w:rPr>
        <w:t>he calls for view close on 31 January 2024.</w:t>
      </w:r>
      <w:r>
        <w:rPr>
          <w:rFonts w:cs="Arial"/>
        </w:rPr>
        <w:t xml:space="preserve"> </w:t>
      </w:r>
      <w:r>
        <w:t>At the time of writing this report, the outcome of this is not yet known.</w:t>
      </w:r>
    </w:p>
    <w:p w14:paraId="5D52EBBA" w14:textId="77777777" w:rsidR="00C840C9" w:rsidRPr="00592915" w:rsidRDefault="00C840C9" w:rsidP="00C840C9">
      <w:pPr>
        <w:jc w:val="both"/>
        <w:rPr>
          <w:rFonts w:cs="Arial"/>
        </w:rPr>
      </w:pPr>
    </w:p>
    <w:p w14:paraId="512A3149" w14:textId="77777777" w:rsidR="00C840C9" w:rsidRPr="00592915" w:rsidRDefault="00C840C9" w:rsidP="00C840C9">
      <w:pPr>
        <w:jc w:val="both"/>
        <w:rPr>
          <w:rFonts w:cs="Arial"/>
          <w:b/>
          <w:bCs/>
        </w:rPr>
      </w:pPr>
    </w:p>
    <w:p w14:paraId="5AB19AE1" w14:textId="77777777" w:rsidR="00C840C9" w:rsidRPr="00592915" w:rsidRDefault="00C840C9" w:rsidP="00C840C9">
      <w:pPr>
        <w:jc w:val="both"/>
        <w:rPr>
          <w:rFonts w:cs="Arial"/>
          <w:b/>
          <w:bCs/>
          <w:caps/>
        </w:rPr>
      </w:pPr>
      <w:r w:rsidRPr="00592915">
        <w:rPr>
          <w:rFonts w:cs="Arial"/>
          <w:b/>
          <w:bCs/>
        </w:rPr>
        <w:t xml:space="preserve">Section 2 – </w:t>
      </w:r>
      <w:r w:rsidRPr="00592915">
        <w:rPr>
          <w:rFonts w:cs="Arial"/>
          <w:b/>
          <w:bCs/>
          <w:caps/>
        </w:rPr>
        <w:t xml:space="preserve">Selecting, Approving and Monitoring Capital Schemes </w:t>
      </w:r>
    </w:p>
    <w:p w14:paraId="6A8F9003" w14:textId="77777777" w:rsidR="00C840C9" w:rsidRPr="00592915" w:rsidRDefault="00C840C9" w:rsidP="00C840C9">
      <w:pPr>
        <w:jc w:val="both"/>
        <w:rPr>
          <w:rFonts w:cs="Arial"/>
          <w:b/>
          <w:bCs/>
        </w:rPr>
      </w:pPr>
    </w:p>
    <w:p w14:paraId="2094C0F9" w14:textId="77777777" w:rsidR="00C840C9" w:rsidRPr="00592915" w:rsidRDefault="00C840C9" w:rsidP="00C840C9">
      <w:pPr>
        <w:jc w:val="both"/>
        <w:rPr>
          <w:rFonts w:cs="Arial"/>
        </w:rPr>
      </w:pPr>
      <w:r w:rsidRPr="00592915">
        <w:rPr>
          <w:rFonts w:cs="Arial"/>
          <w:b/>
          <w:bCs/>
        </w:rPr>
        <w:t xml:space="preserve">13.The Importance of Capital Business Cases </w:t>
      </w:r>
    </w:p>
    <w:p w14:paraId="05BBC9EE" w14:textId="77777777" w:rsidR="00C840C9" w:rsidRPr="00592915" w:rsidRDefault="00C840C9" w:rsidP="00C840C9">
      <w:pPr>
        <w:jc w:val="both"/>
        <w:rPr>
          <w:rFonts w:cs="Arial"/>
        </w:rPr>
      </w:pPr>
    </w:p>
    <w:p w14:paraId="103E6F27" w14:textId="77777777" w:rsidR="00C840C9" w:rsidRPr="00592915" w:rsidRDefault="00C840C9" w:rsidP="00C840C9">
      <w:pPr>
        <w:jc w:val="both"/>
        <w:rPr>
          <w:rFonts w:cs="Arial"/>
        </w:rPr>
      </w:pPr>
      <w:r w:rsidRPr="00592915">
        <w:rPr>
          <w:rFonts w:cs="Arial"/>
        </w:rPr>
        <w:t xml:space="preserve">The processes described in the following section are to be regarded as the authority’s formal procedures for setting and monitoring capital projects. This process has been developed to ensure that the Council’s Capital Programme contains schemes which are in line with objectives, meet its asset management requirements and are both affordable and deliverable. This process will give elected members confidence that decisions they are being asked to make regarding the capital programme have been based on a sound system of decision making. </w:t>
      </w:r>
    </w:p>
    <w:p w14:paraId="463AEDC7" w14:textId="77777777" w:rsidR="00C840C9" w:rsidRPr="00592915" w:rsidRDefault="00C840C9" w:rsidP="00C840C9">
      <w:pPr>
        <w:jc w:val="both"/>
        <w:rPr>
          <w:rFonts w:cs="Arial"/>
        </w:rPr>
      </w:pPr>
    </w:p>
    <w:p w14:paraId="5DC0D77D" w14:textId="77777777" w:rsidR="00C840C9" w:rsidRPr="00592915" w:rsidRDefault="00C840C9" w:rsidP="00C840C9">
      <w:pPr>
        <w:jc w:val="both"/>
        <w:rPr>
          <w:rFonts w:cs="Arial"/>
        </w:rPr>
      </w:pPr>
      <w:r w:rsidRPr="00592915">
        <w:rPr>
          <w:rFonts w:cs="Arial"/>
        </w:rPr>
        <w:t xml:space="preserve">All capital schemes included in the Capital Programme have been the subject of an evaluation process including a business case to ensure the Council can target its capital resources effectively. </w:t>
      </w:r>
    </w:p>
    <w:p w14:paraId="4A17BB57" w14:textId="77777777" w:rsidR="00C840C9" w:rsidRPr="00592915" w:rsidRDefault="00C840C9" w:rsidP="00C840C9">
      <w:pPr>
        <w:jc w:val="both"/>
        <w:rPr>
          <w:rFonts w:cs="Arial"/>
          <w:b/>
          <w:bCs/>
        </w:rPr>
      </w:pPr>
    </w:p>
    <w:p w14:paraId="0B7AC5C9" w14:textId="77777777" w:rsidR="00C840C9" w:rsidRPr="00592915" w:rsidRDefault="00C840C9" w:rsidP="00C840C9">
      <w:pPr>
        <w:jc w:val="both"/>
        <w:rPr>
          <w:rFonts w:cs="Arial"/>
        </w:rPr>
      </w:pPr>
      <w:r w:rsidRPr="00592915">
        <w:rPr>
          <w:rFonts w:cs="Arial"/>
          <w:b/>
          <w:bCs/>
        </w:rPr>
        <w:t xml:space="preserve">14. Information to be considered in Capital Decision Making </w:t>
      </w:r>
    </w:p>
    <w:p w14:paraId="000266F2" w14:textId="77777777" w:rsidR="00C840C9" w:rsidRPr="00592915" w:rsidRDefault="00C840C9" w:rsidP="00C840C9">
      <w:pPr>
        <w:jc w:val="both"/>
        <w:rPr>
          <w:rFonts w:cs="Arial"/>
        </w:rPr>
      </w:pPr>
    </w:p>
    <w:p w14:paraId="77340ADB" w14:textId="77777777" w:rsidR="00C840C9" w:rsidRPr="00592915" w:rsidRDefault="00C840C9" w:rsidP="00C840C9">
      <w:pPr>
        <w:jc w:val="both"/>
        <w:rPr>
          <w:rFonts w:cs="Arial"/>
        </w:rPr>
      </w:pPr>
      <w:r w:rsidRPr="00592915">
        <w:rPr>
          <w:rFonts w:cs="Arial"/>
        </w:rPr>
        <w:t xml:space="preserve">When making decisions as to which schemes are included on the capital programme the presented business case must include information on these main factors. </w:t>
      </w:r>
    </w:p>
    <w:p w14:paraId="22917590" w14:textId="77777777" w:rsidR="00C840C9" w:rsidRPr="00592915" w:rsidRDefault="00C840C9" w:rsidP="00C840C9">
      <w:pPr>
        <w:jc w:val="both"/>
        <w:rPr>
          <w:rFonts w:cs="Arial"/>
        </w:rPr>
      </w:pPr>
    </w:p>
    <w:p w14:paraId="4157DC45" w14:textId="77777777" w:rsidR="00C840C9" w:rsidRPr="00EB6FB9" w:rsidRDefault="00C840C9" w:rsidP="00C840C9">
      <w:pPr>
        <w:pStyle w:val="ListParagraph"/>
        <w:numPr>
          <w:ilvl w:val="0"/>
          <w:numId w:val="42"/>
        </w:numPr>
        <w:tabs>
          <w:tab w:val="num" w:pos="851"/>
        </w:tabs>
        <w:spacing w:after="200" w:line="276" w:lineRule="auto"/>
        <w:ind w:left="851"/>
        <w:jc w:val="both"/>
        <w:rPr>
          <w:rFonts w:cs="Arial"/>
        </w:rPr>
      </w:pPr>
      <w:r w:rsidRPr="00EB6FB9">
        <w:rPr>
          <w:rFonts w:cs="Arial"/>
        </w:rPr>
        <w:t xml:space="preserve">Financials – All anticipated costs (both capital and ongoing revenue), along with any potential revenue streams must be set out. This should include risk analysis to show factors which may impact upon those numbers and where appropriate sensitivity analysis to show potential future scenarios. </w:t>
      </w:r>
    </w:p>
    <w:p w14:paraId="62AA1D6E" w14:textId="77777777" w:rsidR="00C840C9" w:rsidRPr="00EB6FB9" w:rsidRDefault="00C840C9" w:rsidP="00C840C9">
      <w:pPr>
        <w:pStyle w:val="ListParagraph"/>
        <w:numPr>
          <w:ilvl w:val="0"/>
          <w:numId w:val="42"/>
        </w:numPr>
        <w:tabs>
          <w:tab w:val="num" w:pos="851"/>
        </w:tabs>
        <w:spacing w:after="200" w:line="276" w:lineRule="auto"/>
        <w:ind w:left="709"/>
        <w:jc w:val="both"/>
        <w:rPr>
          <w:rFonts w:cs="Arial"/>
        </w:rPr>
      </w:pPr>
      <w:r w:rsidRPr="00EB6FB9">
        <w:rPr>
          <w:rFonts w:cs="Arial"/>
        </w:rPr>
        <w:t xml:space="preserve">Strategic Objectives – </w:t>
      </w:r>
      <w:r>
        <w:rPr>
          <w:rFonts w:cs="Arial"/>
        </w:rPr>
        <w:t>C</w:t>
      </w:r>
      <w:r w:rsidRPr="00EB6FB9">
        <w:rPr>
          <w:rFonts w:cs="Arial"/>
        </w:rPr>
        <w:t xml:space="preserve">apital schemes must meet Council priorities and the ability of a scheme to impact upon objectives must be clearly demonstrated. This should include the wider social and environmental </w:t>
      </w:r>
      <w:r w:rsidRPr="00EB6FB9">
        <w:rPr>
          <w:rFonts w:cs="Arial"/>
        </w:rPr>
        <w:lastRenderedPageBreak/>
        <w:t xml:space="preserve">impact of the capital project. This must be accompanied by evidence supporting the conclusions made. </w:t>
      </w:r>
    </w:p>
    <w:p w14:paraId="3337E10D" w14:textId="77777777" w:rsidR="00C840C9" w:rsidRPr="00EB6FB9" w:rsidRDefault="00C840C9" w:rsidP="00C840C9">
      <w:pPr>
        <w:pStyle w:val="ListParagraph"/>
        <w:numPr>
          <w:ilvl w:val="0"/>
          <w:numId w:val="42"/>
        </w:numPr>
        <w:tabs>
          <w:tab w:val="num" w:pos="851"/>
        </w:tabs>
        <w:spacing w:after="200" w:line="276" w:lineRule="auto"/>
        <w:ind w:left="709"/>
        <w:jc w:val="both"/>
        <w:rPr>
          <w:rFonts w:cs="Arial"/>
        </w:rPr>
      </w:pPr>
      <w:r w:rsidRPr="00EB6FB9">
        <w:rPr>
          <w:rFonts w:cs="Arial"/>
        </w:rPr>
        <w:t xml:space="preserve">Capacity - All capital schemes, even those funded by external sources, require officers within the Council to implement them and this must be considered as part of the appraisal process. Where a project requires the procuring of additional resource to deliver the scheme this detail must be included in the financial analysis. </w:t>
      </w:r>
    </w:p>
    <w:p w14:paraId="01C16C45" w14:textId="77777777" w:rsidR="00C840C9" w:rsidRPr="00EB6FB9" w:rsidRDefault="00C840C9" w:rsidP="00C840C9">
      <w:pPr>
        <w:pStyle w:val="ListParagraph"/>
        <w:numPr>
          <w:ilvl w:val="0"/>
          <w:numId w:val="42"/>
        </w:numPr>
        <w:tabs>
          <w:tab w:val="num" w:pos="851"/>
        </w:tabs>
        <w:spacing w:after="200" w:line="276" w:lineRule="auto"/>
        <w:ind w:left="709"/>
        <w:jc w:val="both"/>
        <w:rPr>
          <w:rFonts w:cs="Arial"/>
        </w:rPr>
      </w:pPr>
      <w:r w:rsidRPr="00EB6FB9">
        <w:rPr>
          <w:rFonts w:cs="Arial"/>
        </w:rPr>
        <w:t xml:space="preserve">Deliverability - The success of capital projects depends not just on the financial and non-financial resources of the Council. External factors which impact on the deliverability of the project should also be considered as part of the planning process. </w:t>
      </w:r>
    </w:p>
    <w:p w14:paraId="74633D8C" w14:textId="77777777" w:rsidR="00C840C9" w:rsidRPr="00592915" w:rsidRDefault="00C840C9" w:rsidP="00C840C9">
      <w:pPr>
        <w:jc w:val="both"/>
        <w:rPr>
          <w:rFonts w:cs="Arial"/>
        </w:rPr>
      </w:pPr>
    </w:p>
    <w:p w14:paraId="1E3D23B1" w14:textId="77777777" w:rsidR="00C840C9" w:rsidRPr="00592915" w:rsidRDefault="00C840C9" w:rsidP="00C840C9">
      <w:pPr>
        <w:jc w:val="both"/>
        <w:rPr>
          <w:rFonts w:cs="Arial"/>
        </w:rPr>
      </w:pPr>
      <w:r w:rsidRPr="00592915">
        <w:rPr>
          <w:rFonts w:cs="Arial"/>
          <w:b/>
        </w:rPr>
        <w:t>15.</w:t>
      </w:r>
      <w:r w:rsidRPr="00592915">
        <w:rPr>
          <w:rFonts w:cs="Arial"/>
          <w:b/>
          <w:bCs/>
        </w:rPr>
        <w:t xml:space="preserve">Governance of the Capital Programme </w:t>
      </w:r>
    </w:p>
    <w:p w14:paraId="2A8F0336" w14:textId="77777777" w:rsidR="00C840C9" w:rsidRPr="00592915" w:rsidRDefault="00C840C9" w:rsidP="00C840C9">
      <w:pPr>
        <w:jc w:val="both"/>
        <w:rPr>
          <w:rFonts w:cs="Arial"/>
        </w:rPr>
      </w:pPr>
    </w:p>
    <w:p w14:paraId="4B7AF426" w14:textId="77777777" w:rsidR="00C840C9" w:rsidRPr="00592915" w:rsidRDefault="00C840C9" w:rsidP="00C840C9">
      <w:pPr>
        <w:jc w:val="both"/>
        <w:rPr>
          <w:rFonts w:cs="Arial"/>
        </w:rPr>
      </w:pPr>
      <w:r w:rsidRPr="00592915">
        <w:rPr>
          <w:rFonts w:cs="Arial"/>
        </w:rPr>
        <w:t xml:space="preserve">This strategy sets out the governance relationship relating to the Capital Programme and the respective role of Members and Officers in relation to the </w:t>
      </w:r>
      <w:proofErr w:type="gramStart"/>
      <w:r w:rsidRPr="00592915">
        <w:rPr>
          <w:rFonts w:cs="Arial"/>
        </w:rPr>
        <w:t>decision making</w:t>
      </w:r>
      <w:proofErr w:type="gramEnd"/>
      <w:r w:rsidRPr="00592915">
        <w:rPr>
          <w:rFonts w:cs="Arial"/>
        </w:rPr>
        <w:t xml:space="preserve"> process. The roles of the various groups are as follows. </w:t>
      </w:r>
    </w:p>
    <w:p w14:paraId="46F54539" w14:textId="77777777" w:rsidR="00C840C9" w:rsidRPr="00592915" w:rsidRDefault="00C840C9" w:rsidP="00C840C9">
      <w:pPr>
        <w:jc w:val="both"/>
        <w:rPr>
          <w:rFonts w:cs="Arial"/>
        </w:rPr>
      </w:pPr>
    </w:p>
    <w:p w14:paraId="4A6D795E" w14:textId="77777777" w:rsidR="00C840C9" w:rsidRPr="00592915" w:rsidRDefault="00C840C9" w:rsidP="00C840C9">
      <w:pPr>
        <w:jc w:val="both"/>
        <w:rPr>
          <w:rFonts w:cs="Arial"/>
        </w:rPr>
      </w:pPr>
      <w:r w:rsidRPr="00592915">
        <w:rPr>
          <w:rFonts w:cs="Arial"/>
        </w:rPr>
        <w:t xml:space="preserve">Decision making on the Capital Programme is likely to be an iterative and often circular process with information flowing both ways between these respective groups. </w:t>
      </w:r>
    </w:p>
    <w:p w14:paraId="64D5E6EF" w14:textId="77777777" w:rsidR="00C840C9" w:rsidRPr="00592915" w:rsidRDefault="00C840C9" w:rsidP="00C840C9">
      <w:pPr>
        <w:jc w:val="both"/>
        <w:rPr>
          <w:rFonts w:cs="Arial"/>
        </w:rPr>
      </w:pPr>
    </w:p>
    <w:p w14:paraId="7D094C37" w14:textId="77777777" w:rsidR="00C840C9" w:rsidRPr="00592915" w:rsidRDefault="00C840C9" w:rsidP="00C840C9">
      <w:pPr>
        <w:jc w:val="both"/>
        <w:rPr>
          <w:rFonts w:cs="Arial"/>
        </w:rPr>
      </w:pPr>
      <w:r w:rsidRPr="00592915">
        <w:rPr>
          <w:rFonts w:cs="Arial"/>
        </w:rPr>
        <w:t xml:space="preserve">As an </w:t>
      </w:r>
      <w:proofErr w:type="gramStart"/>
      <w:r w:rsidRPr="00592915">
        <w:rPr>
          <w:rFonts w:cs="Arial"/>
        </w:rPr>
        <w:t>example</w:t>
      </w:r>
      <w:proofErr w:type="gramEnd"/>
      <w:r w:rsidRPr="00592915">
        <w:rPr>
          <w:rFonts w:cs="Arial"/>
        </w:rPr>
        <w:t xml:space="preserve"> the following timescale may be followed for producing the Capital Programme during the main budget setting process. </w:t>
      </w:r>
    </w:p>
    <w:p w14:paraId="68BDE1AC" w14:textId="77777777" w:rsidR="00C840C9" w:rsidRPr="00592915" w:rsidRDefault="00C840C9" w:rsidP="00C840C9">
      <w:pPr>
        <w:jc w:val="both"/>
        <w:rPr>
          <w:rFonts w:cs="Arial"/>
        </w:rPr>
      </w:pPr>
    </w:p>
    <w:p w14:paraId="578781E3" w14:textId="77777777" w:rsidR="00C840C9" w:rsidRPr="00592915" w:rsidRDefault="00C840C9" w:rsidP="00C840C9">
      <w:pPr>
        <w:pBdr>
          <w:top w:val="single" w:sz="4" w:space="1" w:color="auto"/>
          <w:left w:val="single" w:sz="4" w:space="4" w:color="auto"/>
          <w:bottom w:val="single" w:sz="4" w:space="1" w:color="auto"/>
          <w:right w:val="single" w:sz="4" w:space="4" w:color="auto"/>
        </w:pBdr>
        <w:spacing w:after="130"/>
        <w:jc w:val="both"/>
        <w:rPr>
          <w:rFonts w:cs="Arial"/>
          <w:b/>
        </w:rPr>
      </w:pPr>
      <w:r w:rsidRPr="00592915">
        <w:rPr>
          <w:rFonts w:cs="Arial"/>
          <w:b/>
        </w:rPr>
        <w:t>Council</w:t>
      </w:r>
    </w:p>
    <w:p w14:paraId="048ECBB8" w14:textId="77777777" w:rsidR="00C840C9" w:rsidRPr="00592915" w:rsidRDefault="00C840C9" w:rsidP="00C840C9">
      <w:pPr>
        <w:pBdr>
          <w:top w:val="single" w:sz="4" w:space="1" w:color="auto"/>
          <w:left w:val="single" w:sz="4" w:space="4" w:color="auto"/>
          <w:bottom w:val="single" w:sz="4" w:space="1" w:color="auto"/>
          <w:right w:val="single" w:sz="4" w:space="4" w:color="auto"/>
        </w:pBdr>
        <w:spacing w:after="130"/>
        <w:jc w:val="both"/>
        <w:rPr>
          <w:rFonts w:cs="Arial"/>
        </w:rPr>
      </w:pPr>
      <w:r w:rsidRPr="00592915">
        <w:rPr>
          <w:rFonts w:cs="Arial"/>
        </w:rPr>
        <w:t xml:space="preserve">•Formally agrees the Capital Programme </w:t>
      </w:r>
    </w:p>
    <w:p w14:paraId="7529F4AF" w14:textId="77777777" w:rsidR="00C840C9" w:rsidRPr="00592915" w:rsidRDefault="00C840C9" w:rsidP="00C840C9">
      <w:pPr>
        <w:pBdr>
          <w:top w:val="single" w:sz="4" w:space="1" w:color="auto"/>
          <w:left w:val="single" w:sz="4" w:space="4" w:color="auto"/>
          <w:bottom w:val="single" w:sz="4" w:space="1" w:color="auto"/>
          <w:right w:val="single" w:sz="4" w:space="4" w:color="auto"/>
        </w:pBdr>
        <w:spacing w:after="130"/>
        <w:jc w:val="both"/>
        <w:rPr>
          <w:rFonts w:cs="Arial"/>
        </w:rPr>
      </w:pPr>
      <w:r w:rsidRPr="00592915">
        <w:rPr>
          <w:rFonts w:cs="Arial"/>
        </w:rPr>
        <w:t xml:space="preserve">•Receives budget monitoring reports covering financial and non-financial elements of capital schemes </w:t>
      </w:r>
    </w:p>
    <w:p w14:paraId="659CC92B" w14:textId="77777777" w:rsidR="00C840C9" w:rsidRPr="00592915" w:rsidRDefault="00C840C9" w:rsidP="00C840C9">
      <w:pPr>
        <w:pBdr>
          <w:top w:val="single" w:sz="4" w:space="1" w:color="auto"/>
          <w:left w:val="single" w:sz="4" w:space="4" w:color="auto"/>
          <w:bottom w:val="single" w:sz="4" w:space="1" w:color="auto"/>
          <w:right w:val="single" w:sz="4" w:space="4" w:color="auto"/>
        </w:pBdr>
        <w:spacing w:after="130"/>
        <w:jc w:val="both"/>
        <w:rPr>
          <w:rFonts w:cs="Arial"/>
        </w:rPr>
      </w:pPr>
      <w:r w:rsidRPr="00592915">
        <w:rPr>
          <w:rFonts w:cs="Arial"/>
        </w:rPr>
        <w:t xml:space="preserve">•Approves commercial capital investments </w:t>
      </w:r>
    </w:p>
    <w:p w14:paraId="4ADE7087" w14:textId="77777777" w:rsidR="00C840C9" w:rsidRPr="00592915" w:rsidRDefault="00C840C9" w:rsidP="00C840C9">
      <w:pPr>
        <w:pBdr>
          <w:top w:val="single" w:sz="4" w:space="1" w:color="auto"/>
          <w:left w:val="single" w:sz="4" w:space="4" w:color="auto"/>
          <w:bottom w:val="single" w:sz="4" w:space="1" w:color="auto"/>
          <w:right w:val="single" w:sz="4" w:space="4" w:color="auto"/>
        </w:pBdr>
        <w:spacing w:after="130"/>
        <w:jc w:val="both"/>
        <w:rPr>
          <w:rFonts w:cs="Arial"/>
          <w:b/>
        </w:rPr>
      </w:pPr>
      <w:r w:rsidRPr="00592915">
        <w:rPr>
          <w:rFonts w:cs="Arial"/>
          <w:b/>
        </w:rPr>
        <w:t>Capital Forum</w:t>
      </w:r>
    </w:p>
    <w:p w14:paraId="528FD930" w14:textId="77777777" w:rsidR="00C840C9" w:rsidRPr="00592915" w:rsidRDefault="00C840C9" w:rsidP="00C840C9">
      <w:pPr>
        <w:pBdr>
          <w:top w:val="single" w:sz="4" w:space="1" w:color="auto"/>
          <w:left w:val="single" w:sz="4" w:space="4" w:color="auto"/>
          <w:bottom w:val="single" w:sz="4" w:space="1" w:color="auto"/>
          <w:right w:val="single" w:sz="4" w:space="4" w:color="auto"/>
        </w:pBdr>
        <w:spacing w:after="130"/>
        <w:jc w:val="both"/>
        <w:rPr>
          <w:rFonts w:cs="Arial"/>
        </w:rPr>
      </w:pPr>
      <w:r w:rsidRPr="00592915">
        <w:rPr>
          <w:rFonts w:cs="Arial"/>
        </w:rPr>
        <w:t>•Allows panel a chance to comment on capital schemes before formal approval of releasing the funding approved as part of the Capital Programme</w:t>
      </w:r>
    </w:p>
    <w:p w14:paraId="738BE0B9" w14:textId="77777777" w:rsidR="00C840C9" w:rsidRPr="00592915" w:rsidRDefault="00C840C9" w:rsidP="00C840C9">
      <w:pPr>
        <w:pBdr>
          <w:top w:val="single" w:sz="4" w:space="1" w:color="auto"/>
          <w:left w:val="single" w:sz="4" w:space="4" w:color="auto"/>
          <w:bottom w:val="single" w:sz="4" w:space="1" w:color="auto"/>
          <w:right w:val="single" w:sz="4" w:space="4" w:color="auto"/>
        </w:pBdr>
        <w:spacing w:after="130"/>
        <w:jc w:val="both"/>
        <w:rPr>
          <w:rFonts w:cs="Arial"/>
          <w:b/>
        </w:rPr>
      </w:pPr>
      <w:r w:rsidRPr="00592915">
        <w:rPr>
          <w:rFonts w:cs="Arial"/>
          <w:b/>
        </w:rPr>
        <w:t xml:space="preserve">Corporate Team </w:t>
      </w:r>
    </w:p>
    <w:p w14:paraId="583914B0" w14:textId="77777777" w:rsidR="00C840C9" w:rsidRPr="00592915" w:rsidRDefault="00C840C9" w:rsidP="00C840C9">
      <w:pPr>
        <w:pBdr>
          <w:top w:val="single" w:sz="4" w:space="1" w:color="auto"/>
          <w:left w:val="single" w:sz="4" w:space="4" w:color="auto"/>
          <w:bottom w:val="single" w:sz="4" w:space="1" w:color="auto"/>
          <w:right w:val="single" w:sz="4" w:space="4" w:color="auto"/>
        </w:pBdr>
        <w:spacing w:after="130"/>
        <w:jc w:val="both"/>
        <w:rPr>
          <w:rFonts w:cs="Arial"/>
        </w:rPr>
      </w:pPr>
      <w:r w:rsidRPr="00592915">
        <w:rPr>
          <w:rFonts w:cs="Arial"/>
        </w:rPr>
        <w:t xml:space="preserve">•Reviews Business Cases submitted </w:t>
      </w:r>
    </w:p>
    <w:p w14:paraId="20DB8AF7" w14:textId="77777777" w:rsidR="00C840C9" w:rsidRPr="00592915" w:rsidRDefault="00C840C9" w:rsidP="00C840C9">
      <w:pPr>
        <w:pBdr>
          <w:top w:val="single" w:sz="4" w:space="1" w:color="auto"/>
          <w:left w:val="single" w:sz="4" w:space="4" w:color="auto"/>
          <w:bottom w:val="single" w:sz="4" w:space="1" w:color="auto"/>
          <w:right w:val="single" w:sz="4" w:space="4" w:color="auto"/>
        </w:pBdr>
        <w:spacing w:after="130"/>
        <w:jc w:val="both"/>
        <w:rPr>
          <w:rFonts w:cs="Arial"/>
        </w:rPr>
      </w:pPr>
      <w:r w:rsidRPr="00592915">
        <w:rPr>
          <w:rFonts w:cs="Arial"/>
        </w:rPr>
        <w:t xml:space="preserve">•Performs initial sift of viable schemes </w:t>
      </w:r>
    </w:p>
    <w:p w14:paraId="216EF635" w14:textId="77777777" w:rsidR="00C840C9" w:rsidRPr="00592915" w:rsidRDefault="00C840C9" w:rsidP="00C840C9">
      <w:pPr>
        <w:pBdr>
          <w:top w:val="single" w:sz="4" w:space="1" w:color="auto"/>
          <w:left w:val="single" w:sz="4" w:space="4" w:color="auto"/>
          <w:bottom w:val="single" w:sz="4" w:space="1" w:color="auto"/>
          <w:right w:val="single" w:sz="4" w:space="4" w:color="auto"/>
        </w:pBdr>
        <w:spacing w:after="130"/>
        <w:jc w:val="both"/>
        <w:rPr>
          <w:rFonts w:cs="Arial"/>
        </w:rPr>
      </w:pPr>
      <w:r w:rsidRPr="00592915">
        <w:rPr>
          <w:rFonts w:cs="Arial"/>
        </w:rPr>
        <w:t xml:space="preserve">•Approves proposed list of capital schemes </w:t>
      </w:r>
    </w:p>
    <w:p w14:paraId="38E805E1" w14:textId="77777777" w:rsidR="00C840C9" w:rsidRPr="00592915" w:rsidRDefault="00C840C9" w:rsidP="00C840C9">
      <w:pPr>
        <w:pBdr>
          <w:top w:val="single" w:sz="4" w:space="1" w:color="auto"/>
          <w:left w:val="single" w:sz="4" w:space="4" w:color="auto"/>
          <w:bottom w:val="single" w:sz="4" w:space="1" w:color="auto"/>
          <w:right w:val="single" w:sz="4" w:space="4" w:color="auto"/>
        </w:pBdr>
        <w:spacing w:after="130"/>
        <w:jc w:val="both"/>
        <w:rPr>
          <w:rFonts w:cs="Arial"/>
          <w:b/>
        </w:rPr>
      </w:pPr>
      <w:r w:rsidRPr="00592915">
        <w:rPr>
          <w:rFonts w:cs="Arial"/>
          <w:b/>
        </w:rPr>
        <w:t xml:space="preserve">Service Managers / Heads of Service </w:t>
      </w:r>
    </w:p>
    <w:p w14:paraId="38364C2D" w14:textId="77777777" w:rsidR="00C840C9" w:rsidRPr="00592915" w:rsidRDefault="00C840C9" w:rsidP="00C840C9">
      <w:pPr>
        <w:pBdr>
          <w:top w:val="single" w:sz="4" w:space="1" w:color="auto"/>
          <w:left w:val="single" w:sz="4" w:space="4" w:color="auto"/>
          <w:bottom w:val="single" w:sz="4" w:space="1" w:color="auto"/>
          <w:right w:val="single" w:sz="4" w:space="4" w:color="auto"/>
        </w:pBdr>
        <w:spacing w:after="130"/>
        <w:jc w:val="both"/>
        <w:rPr>
          <w:rFonts w:cs="Arial"/>
        </w:rPr>
      </w:pPr>
      <w:r w:rsidRPr="00592915">
        <w:rPr>
          <w:rFonts w:cs="Arial"/>
        </w:rPr>
        <w:t xml:space="preserve">•Identify priorities and opportunities for capital investment </w:t>
      </w:r>
    </w:p>
    <w:p w14:paraId="1615201C" w14:textId="77777777" w:rsidR="00C840C9" w:rsidRPr="00592915" w:rsidRDefault="00C840C9" w:rsidP="00C840C9">
      <w:pPr>
        <w:pBdr>
          <w:top w:val="single" w:sz="4" w:space="1" w:color="auto"/>
          <w:left w:val="single" w:sz="4" w:space="4" w:color="auto"/>
          <w:bottom w:val="single" w:sz="4" w:space="1" w:color="auto"/>
          <w:right w:val="single" w:sz="4" w:space="4" w:color="auto"/>
        </w:pBdr>
        <w:spacing w:after="130"/>
        <w:jc w:val="both"/>
        <w:rPr>
          <w:rFonts w:cs="Arial"/>
        </w:rPr>
      </w:pPr>
      <w:r w:rsidRPr="00592915">
        <w:rPr>
          <w:rFonts w:cs="Arial"/>
        </w:rPr>
        <w:t xml:space="preserve">•Act as, or appoint, project managers to lead on schemes and complete outline business cases </w:t>
      </w:r>
    </w:p>
    <w:p w14:paraId="437D89C5" w14:textId="77777777" w:rsidR="00C840C9" w:rsidRPr="00592915" w:rsidRDefault="00C840C9" w:rsidP="00C840C9">
      <w:pPr>
        <w:jc w:val="both"/>
        <w:rPr>
          <w:rFonts w:cs="Arial"/>
          <w:b/>
        </w:rPr>
      </w:pPr>
    </w:p>
    <w:p w14:paraId="421B1BDD" w14:textId="77777777" w:rsidR="00C840C9" w:rsidRPr="00592915" w:rsidRDefault="00C840C9" w:rsidP="00C840C9">
      <w:pPr>
        <w:jc w:val="both"/>
        <w:rPr>
          <w:rFonts w:cs="Arial"/>
        </w:rPr>
      </w:pPr>
      <w:r w:rsidRPr="00592915">
        <w:rPr>
          <w:rFonts w:cs="Arial"/>
          <w:b/>
        </w:rPr>
        <w:lastRenderedPageBreak/>
        <w:t>16.</w:t>
      </w:r>
      <w:r w:rsidRPr="00592915">
        <w:rPr>
          <w:rFonts w:cs="Arial"/>
        </w:rPr>
        <w:t xml:space="preserve"> </w:t>
      </w:r>
      <w:r w:rsidRPr="00592915">
        <w:rPr>
          <w:rFonts w:cs="Arial"/>
          <w:b/>
          <w:bCs/>
        </w:rPr>
        <w:t xml:space="preserve">In-Year Capital Decisions </w:t>
      </w:r>
    </w:p>
    <w:p w14:paraId="2508CA33" w14:textId="77777777" w:rsidR="00C840C9" w:rsidRPr="00592915" w:rsidRDefault="00C840C9" w:rsidP="00C840C9">
      <w:pPr>
        <w:jc w:val="both"/>
        <w:rPr>
          <w:rFonts w:cs="Arial"/>
        </w:rPr>
      </w:pPr>
    </w:p>
    <w:p w14:paraId="5D41C2FE" w14:textId="77777777" w:rsidR="00C840C9" w:rsidRPr="00592915" w:rsidRDefault="00C840C9" w:rsidP="00C840C9">
      <w:pPr>
        <w:jc w:val="both"/>
        <w:rPr>
          <w:rFonts w:cs="Arial"/>
        </w:rPr>
      </w:pPr>
      <w:r w:rsidRPr="00592915">
        <w:rPr>
          <w:rFonts w:cs="Arial"/>
        </w:rPr>
        <w:t xml:space="preserve">The inclusion of projects in the Capital Programme must remain possible outside of the usual capital budget setting process where a project is being resourced by external funding, </w:t>
      </w:r>
      <w:proofErr w:type="gramStart"/>
      <w:r w:rsidRPr="00592915">
        <w:rPr>
          <w:rFonts w:cs="Arial"/>
        </w:rPr>
        <w:t>e.g</w:t>
      </w:r>
      <w:r>
        <w:rPr>
          <w:rFonts w:cs="Arial"/>
        </w:rPr>
        <w:t>.</w:t>
      </w:r>
      <w:proofErr w:type="gramEnd"/>
      <w:r w:rsidRPr="00592915">
        <w:rPr>
          <w:rFonts w:cs="Arial"/>
        </w:rPr>
        <w:t xml:space="preserve"> Government grant or other external funding. </w:t>
      </w:r>
      <w:proofErr w:type="gramStart"/>
      <w:r w:rsidRPr="00592915">
        <w:rPr>
          <w:rFonts w:cs="Arial"/>
        </w:rPr>
        <w:t>In order to</w:t>
      </w:r>
      <w:proofErr w:type="gramEnd"/>
      <w:r w:rsidRPr="00592915">
        <w:rPr>
          <w:rFonts w:cs="Arial"/>
        </w:rPr>
        <w:t xml:space="preserve"> facilitate this, the </w:t>
      </w:r>
      <w:r>
        <w:rPr>
          <w:rFonts w:cs="Arial"/>
        </w:rPr>
        <w:t>F</w:t>
      </w:r>
      <w:r w:rsidRPr="00592915">
        <w:rPr>
          <w:rFonts w:cs="Arial"/>
        </w:rPr>
        <w:t xml:space="preserve">inancial </w:t>
      </w:r>
      <w:r>
        <w:rPr>
          <w:rFonts w:cs="Arial"/>
        </w:rPr>
        <w:t>R</w:t>
      </w:r>
      <w:r w:rsidRPr="00592915">
        <w:rPr>
          <w:rFonts w:cs="Arial"/>
        </w:rPr>
        <w:t xml:space="preserve">egulations allow for capital projects to be added to the capital programme where they are funded from external sources. </w:t>
      </w:r>
    </w:p>
    <w:p w14:paraId="1182F78B" w14:textId="77777777" w:rsidR="00C840C9" w:rsidRPr="00592915" w:rsidRDefault="00C840C9" w:rsidP="00C840C9">
      <w:pPr>
        <w:jc w:val="both"/>
        <w:rPr>
          <w:rFonts w:cs="Arial"/>
          <w:b/>
        </w:rPr>
      </w:pPr>
    </w:p>
    <w:p w14:paraId="685F3DF3" w14:textId="77777777" w:rsidR="00C840C9" w:rsidRPr="00592915" w:rsidRDefault="00C840C9" w:rsidP="00C840C9">
      <w:pPr>
        <w:jc w:val="both"/>
        <w:rPr>
          <w:rFonts w:cs="Arial"/>
        </w:rPr>
      </w:pPr>
      <w:r w:rsidRPr="00592915">
        <w:rPr>
          <w:rFonts w:cs="Arial"/>
          <w:b/>
        </w:rPr>
        <w:t>17.</w:t>
      </w:r>
      <w:r w:rsidRPr="00592915">
        <w:rPr>
          <w:rFonts w:cs="Arial"/>
          <w:b/>
          <w:bCs/>
        </w:rPr>
        <w:t xml:space="preserve">Monitoring Capital Projects </w:t>
      </w:r>
    </w:p>
    <w:p w14:paraId="28D884CC" w14:textId="77777777" w:rsidR="00C840C9" w:rsidRPr="00592915" w:rsidRDefault="00C840C9" w:rsidP="00C840C9">
      <w:pPr>
        <w:jc w:val="both"/>
        <w:rPr>
          <w:rFonts w:cs="Arial"/>
        </w:rPr>
      </w:pPr>
    </w:p>
    <w:p w14:paraId="156B40B5" w14:textId="77777777" w:rsidR="00C840C9" w:rsidRPr="00592915" w:rsidRDefault="00C840C9" w:rsidP="00C840C9">
      <w:pPr>
        <w:jc w:val="both"/>
        <w:rPr>
          <w:rFonts w:cs="Arial"/>
        </w:rPr>
      </w:pPr>
      <w:r w:rsidRPr="00592915">
        <w:rPr>
          <w:rFonts w:cs="Arial"/>
        </w:rPr>
        <w:t xml:space="preserve">Effective monitoring of projects is a vital element of good capital governance. </w:t>
      </w:r>
    </w:p>
    <w:p w14:paraId="4E9E14E1" w14:textId="77777777" w:rsidR="00C840C9" w:rsidRPr="00592915" w:rsidRDefault="00C840C9" w:rsidP="00C840C9">
      <w:pPr>
        <w:jc w:val="both"/>
        <w:rPr>
          <w:rFonts w:cs="Arial"/>
        </w:rPr>
      </w:pPr>
    </w:p>
    <w:p w14:paraId="2193CD43" w14:textId="77777777" w:rsidR="00C840C9" w:rsidRPr="00592915" w:rsidRDefault="00C840C9" w:rsidP="00C840C9">
      <w:pPr>
        <w:jc w:val="both"/>
        <w:rPr>
          <w:rFonts w:cs="Arial"/>
        </w:rPr>
      </w:pPr>
      <w:r w:rsidRPr="00592915">
        <w:rPr>
          <w:rFonts w:cs="Arial"/>
        </w:rPr>
        <w:t xml:space="preserve">Capital projects are often significant not only in terms of financial resources required but in terms of organisational capacity, impact upon Service delivery and reputational risk. It is therefore vital that there is sufficient monitoring carried out upon schemes to allow stakeholders to be informed of progress and for members and officers to make decisions as required. </w:t>
      </w:r>
    </w:p>
    <w:p w14:paraId="3E364ECB" w14:textId="77777777" w:rsidR="00C840C9" w:rsidRPr="00592915" w:rsidRDefault="00C840C9" w:rsidP="00C840C9">
      <w:pPr>
        <w:jc w:val="both"/>
        <w:rPr>
          <w:rFonts w:cs="Arial"/>
        </w:rPr>
      </w:pPr>
    </w:p>
    <w:p w14:paraId="44799837" w14:textId="77777777" w:rsidR="00C840C9" w:rsidRPr="00592915" w:rsidRDefault="00C840C9" w:rsidP="00C840C9">
      <w:pPr>
        <w:jc w:val="both"/>
        <w:rPr>
          <w:rFonts w:cs="Arial"/>
        </w:rPr>
      </w:pPr>
      <w:r w:rsidRPr="00592915">
        <w:rPr>
          <w:rFonts w:cs="Arial"/>
        </w:rPr>
        <w:t xml:space="preserve">In order to meet these </w:t>
      </w:r>
      <w:proofErr w:type="gramStart"/>
      <w:r w:rsidRPr="00592915">
        <w:rPr>
          <w:rFonts w:cs="Arial"/>
        </w:rPr>
        <w:t>requirements</w:t>
      </w:r>
      <w:proofErr w:type="gramEnd"/>
      <w:r w:rsidRPr="00592915">
        <w:rPr>
          <w:rFonts w:cs="Arial"/>
        </w:rPr>
        <w:t xml:space="preserve"> the Corporate Team prepare quarterly monitoring reports showing the current spend against capital projects, the forecast for the end of the financial year include the underspend or slippage into the following year at the end of each financial quarter, with an outturn report at year-end.  </w:t>
      </w:r>
    </w:p>
    <w:p w14:paraId="07D140FD" w14:textId="77777777" w:rsidR="00C840C9" w:rsidRPr="00592915" w:rsidRDefault="00C840C9" w:rsidP="00C840C9">
      <w:pPr>
        <w:jc w:val="both"/>
        <w:rPr>
          <w:rFonts w:cs="Arial"/>
        </w:rPr>
      </w:pPr>
    </w:p>
    <w:p w14:paraId="01B6D692" w14:textId="77777777" w:rsidR="00C840C9" w:rsidRPr="00592915" w:rsidRDefault="00C840C9" w:rsidP="00C840C9">
      <w:pPr>
        <w:jc w:val="both"/>
        <w:rPr>
          <w:rFonts w:cs="Arial"/>
        </w:rPr>
      </w:pPr>
      <w:r w:rsidRPr="00592915">
        <w:rPr>
          <w:rFonts w:cs="Arial"/>
        </w:rPr>
        <w:t xml:space="preserve">Cabinet receives quarterly information on the progress of capital projects as part of the quarterly finance update on revenue and capital budget </w:t>
      </w:r>
      <w:proofErr w:type="gramStart"/>
      <w:r w:rsidRPr="00592915">
        <w:rPr>
          <w:rFonts w:cs="Arial"/>
        </w:rPr>
        <w:t>monitoring</w:t>
      </w:r>
      <w:proofErr w:type="gramEnd"/>
    </w:p>
    <w:p w14:paraId="5E525C67" w14:textId="77777777" w:rsidR="00C840C9" w:rsidRPr="00592915" w:rsidRDefault="00C840C9" w:rsidP="00C840C9">
      <w:pPr>
        <w:jc w:val="both"/>
        <w:rPr>
          <w:rFonts w:cs="Arial"/>
          <w:b/>
          <w:bCs/>
        </w:rPr>
      </w:pPr>
    </w:p>
    <w:p w14:paraId="18AFD28F" w14:textId="77777777" w:rsidR="00C840C9" w:rsidRPr="00592915" w:rsidRDefault="00C840C9" w:rsidP="00C840C9">
      <w:pPr>
        <w:jc w:val="both"/>
        <w:rPr>
          <w:rFonts w:cs="Arial"/>
          <w:b/>
          <w:bCs/>
        </w:rPr>
      </w:pPr>
    </w:p>
    <w:p w14:paraId="2C2D7B16" w14:textId="77777777" w:rsidR="00C840C9" w:rsidRPr="00592915" w:rsidRDefault="00C840C9" w:rsidP="00C840C9">
      <w:pPr>
        <w:jc w:val="both"/>
        <w:rPr>
          <w:rFonts w:cs="Arial"/>
        </w:rPr>
      </w:pPr>
      <w:r w:rsidRPr="00592915">
        <w:rPr>
          <w:rFonts w:cs="Arial"/>
          <w:b/>
          <w:bCs/>
        </w:rPr>
        <w:t xml:space="preserve">Section 3 - </w:t>
      </w:r>
      <w:r w:rsidRPr="00592915">
        <w:rPr>
          <w:rFonts w:cs="Arial"/>
          <w:b/>
          <w:bCs/>
          <w:caps/>
        </w:rPr>
        <w:t>Financing the Capital Programme</w:t>
      </w:r>
      <w:r w:rsidRPr="00592915">
        <w:rPr>
          <w:rFonts w:cs="Arial"/>
          <w:b/>
          <w:bCs/>
        </w:rPr>
        <w:t xml:space="preserve"> </w:t>
      </w:r>
    </w:p>
    <w:p w14:paraId="67D7CB3D" w14:textId="77777777" w:rsidR="00C840C9" w:rsidRPr="00592915" w:rsidRDefault="00C840C9" w:rsidP="00C840C9">
      <w:pPr>
        <w:jc w:val="both"/>
        <w:rPr>
          <w:rFonts w:cs="Arial"/>
          <w:b/>
          <w:bCs/>
        </w:rPr>
      </w:pPr>
    </w:p>
    <w:p w14:paraId="5C9CD19A" w14:textId="77777777" w:rsidR="00C840C9" w:rsidRPr="00592915" w:rsidRDefault="00C840C9" w:rsidP="00C840C9">
      <w:pPr>
        <w:jc w:val="both"/>
        <w:rPr>
          <w:rFonts w:cs="Arial"/>
        </w:rPr>
      </w:pPr>
      <w:r w:rsidRPr="00592915">
        <w:rPr>
          <w:rFonts w:cs="Arial"/>
          <w:b/>
          <w:bCs/>
        </w:rPr>
        <w:t xml:space="preserve">18. Capital Funding </w:t>
      </w:r>
    </w:p>
    <w:p w14:paraId="0721F71C" w14:textId="77777777" w:rsidR="00C840C9" w:rsidRPr="00592915" w:rsidRDefault="00C840C9" w:rsidP="00C840C9">
      <w:pPr>
        <w:jc w:val="both"/>
        <w:rPr>
          <w:rFonts w:cs="Arial"/>
        </w:rPr>
      </w:pPr>
    </w:p>
    <w:p w14:paraId="3D11B1CF" w14:textId="77777777" w:rsidR="00C840C9" w:rsidRPr="00592915" w:rsidRDefault="00C840C9" w:rsidP="00C840C9">
      <w:pPr>
        <w:jc w:val="both"/>
        <w:rPr>
          <w:rFonts w:cs="Arial"/>
        </w:rPr>
      </w:pPr>
      <w:r w:rsidRPr="00592915">
        <w:rPr>
          <w:rFonts w:cs="Arial"/>
        </w:rPr>
        <w:t xml:space="preserve">There are </w:t>
      </w:r>
      <w:proofErr w:type="gramStart"/>
      <w:r w:rsidRPr="00592915">
        <w:rPr>
          <w:rFonts w:cs="Arial"/>
        </w:rPr>
        <w:t>a number of</w:t>
      </w:r>
      <w:proofErr w:type="gramEnd"/>
      <w:r w:rsidRPr="00592915">
        <w:rPr>
          <w:rFonts w:cs="Arial"/>
        </w:rPr>
        <w:t xml:space="preserve"> distinct sources of funding which can be utilised to finance capital expenditure. Some funding sources are ring fenced and can only be used for Housing Revenue Account capital expenditure, or a particular capital project. Consideration of funding must be made when projects are at the planning stage. No capital project will be put forward without funding having been identified to complete the project. Where capital schemes are in multiple phases, perhaps requiring an initial development phase to ensure funding for the final phases, this will be considered as part of the planning stage and clearly reported. </w:t>
      </w:r>
    </w:p>
    <w:p w14:paraId="6ADF145C" w14:textId="77777777" w:rsidR="00C840C9" w:rsidRPr="00592915" w:rsidRDefault="00C840C9" w:rsidP="00C840C9">
      <w:pPr>
        <w:jc w:val="both"/>
        <w:rPr>
          <w:rFonts w:cs="Arial"/>
        </w:rPr>
      </w:pPr>
    </w:p>
    <w:p w14:paraId="0B1CF62D" w14:textId="26BA52B9" w:rsidR="00C840C9" w:rsidRDefault="00C840C9" w:rsidP="00C840C9">
      <w:pPr>
        <w:jc w:val="both"/>
        <w:rPr>
          <w:rFonts w:cs="Arial"/>
        </w:rPr>
      </w:pPr>
      <w:r w:rsidRPr="00592915">
        <w:rPr>
          <w:rFonts w:cs="Arial"/>
        </w:rPr>
        <w:t xml:space="preserve">Capital funding cannot be used to fund revenue costs which may arise from a capital scheme such as consultant’s costs on feasibility before a project is identified. </w:t>
      </w:r>
    </w:p>
    <w:p w14:paraId="711CCD6C" w14:textId="6722563F" w:rsidR="00C840C9" w:rsidRDefault="00C840C9" w:rsidP="00C840C9">
      <w:pPr>
        <w:jc w:val="both"/>
        <w:rPr>
          <w:rFonts w:cs="Arial"/>
          <w:b/>
          <w:bCs/>
        </w:rPr>
      </w:pPr>
    </w:p>
    <w:p w14:paraId="2B53A400" w14:textId="42C76A2B" w:rsidR="00C840C9" w:rsidRDefault="00C840C9" w:rsidP="00C840C9">
      <w:pPr>
        <w:jc w:val="both"/>
        <w:rPr>
          <w:rFonts w:cs="Arial"/>
          <w:b/>
          <w:bCs/>
        </w:rPr>
      </w:pPr>
    </w:p>
    <w:p w14:paraId="7740C91C" w14:textId="0B70410B" w:rsidR="00C840C9" w:rsidRDefault="00C840C9" w:rsidP="00C840C9">
      <w:pPr>
        <w:jc w:val="both"/>
        <w:rPr>
          <w:rFonts w:cs="Arial"/>
          <w:b/>
          <w:bCs/>
        </w:rPr>
      </w:pPr>
    </w:p>
    <w:p w14:paraId="6C7BFEDD" w14:textId="6BED4324" w:rsidR="00C840C9" w:rsidRDefault="00C840C9" w:rsidP="00C840C9">
      <w:pPr>
        <w:jc w:val="both"/>
        <w:rPr>
          <w:rFonts w:cs="Arial"/>
          <w:b/>
          <w:bCs/>
        </w:rPr>
      </w:pPr>
    </w:p>
    <w:p w14:paraId="0835BAC9" w14:textId="104B6A7E" w:rsidR="00C840C9" w:rsidRDefault="00C840C9" w:rsidP="00C840C9">
      <w:pPr>
        <w:jc w:val="both"/>
        <w:rPr>
          <w:rFonts w:cs="Arial"/>
          <w:b/>
          <w:bCs/>
        </w:rPr>
      </w:pPr>
    </w:p>
    <w:p w14:paraId="38412377" w14:textId="77777777" w:rsidR="00C840C9" w:rsidRPr="00592915" w:rsidRDefault="00C840C9" w:rsidP="00C840C9">
      <w:pPr>
        <w:jc w:val="both"/>
        <w:rPr>
          <w:rFonts w:cs="Arial"/>
          <w:b/>
          <w:bCs/>
        </w:rPr>
      </w:pPr>
    </w:p>
    <w:p w14:paraId="7901A776" w14:textId="77777777" w:rsidR="00C840C9" w:rsidRPr="00592915" w:rsidRDefault="00C840C9" w:rsidP="00C840C9">
      <w:pPr>
        <w:jc w:val="both"/>
        <w:rPr>
          <w:rFonts w:cs="Arial"/>
        </w:rPr>
      </w:pPr>
      <w:r w:rsidRPr="00592915">
        <w:rPr>
          <w:rFonts w:cs="Arial"/>
          <w:b/>
          <w:bCs/>
        </w:rPr>
        <w:lastRenderedPageBreak/>
        <w:t xml:space="preserve">19.Capital Resources </w:t>
      </w:r>
    </w:p>
    <w:p w14:paraId="4F824431" w14:textId="77777777" w:rsidR="00C840C9" w:rsidRPr="00592915" w:rsidRDefault="00C840C9" w:rsidP="00C840C9">
      <w:pPr>
        <w:jc w:val="both"/>
        <w:rPr>
          <w:rFonts w:cs="Arial"/>
          <w:b/>
          <w:bCs/>
        </w:rPr>
      </w:pPr>
    </w:p>
    <w:p w14:paraId="537EDC0C" w14:textId="77777777" w:rsidR="00C840C9" w:rsidRPr="00592915" w:rsidRDefault="00C840C9" w:rsidP="00C840C9">
      <w:pPr>
        <w:jc w:val="both"/>
        <w:rPr>
          <w:rFonts w:cs="Arial"/>
        </w:rPr>
      </w:pPr>
      <w:r w:rsidRPr="00592915">
        <w:rPr>
          <w:rFonts w:cs="Arial"/>
          <w:b/>
          <w:bCs/>
        </w:rPr>
        <w:t xml:space="preserve">Capital Receipts </w:t>
      </w:r>
    </w:p>
    <w:p w14:paraId="44CCA6CE" w14:textId="77777777" w:rsidR="00C840C9" w:rsidRPr="00592915" w:rsidRDefault="00C840C9" w:rsidP="00C840C9">
      <w:pPr>
        <w:jc w:val="both"/>
        <w:rPr>
          <w:rFonts w:cs="Arial"/>
        </w:rPr>
      </w:pPr>
    </w:p>
    <w:p w14:paraId="7A27FCA2" w14:textId="77777777" w:rsidR="00C840C9" w:rsidRPr="00592915" w:rsidRDefault="00C840C9" w:rsidP="00C840C9">
      <w:pPr>
        <w:jc w:val="both"/>
        <w:rPr>
          <w:rFonts w:cs="Arial"/>
        </w:rPr>
      </w:pPr>
      <w:r w:rsidRPr="00592915">
        <w:rPr>
          <w:rFonts w:cs="Arial"/>
        </w:rPr>
        <w:t xml:space="preserve">The sale of assets with a value of more than £10,000 generates income known as capital receipts. Legislation requires these to be spent on either new capital investment or the repayment of existing debt. The government allows some flexibility in the use of capital receipts in the form of capital flexibilities as set out in paragraph 12. </w:t>
      </w:r>
    </w:p>
    <w:p w14:paraId="6B13BDD9" w14:textId="77777777" w:rsidR="00C840C9" w:rsidRPr="00592915" w:rsidRDefault="00C840C9" w:rsidP="00C840C9">
      <w:pPr>
        <w:jc w:val="both"/>
        <w:rPr>
          <w:rFonts w:cs="Arial"/>
        </w:rPr>
      </w:pPr>
    </w:p>
    <w:p w14:paraId="6F67165B" w14:textId="3871CFFE" w:rsidR="00C840C9" w:rsidRPr="00C840C9" w:rsidRDefault="00C840C9" w:rsidP="00C840C9">
      <w:pPr>
        <w:jc w:val="both"/>
        <w:rPr>
          <w:rFonts w:cs="Arial"/>
        </w:rPr>
      </w:pPr>
      <w:r w:rsidRPr="00C840C9">
        <w:rPr>
          <w:rFonts w:cs="Arial"/>
        </w:rPr>
        <w:t xml:space="preserve">HRA Right to Buy compulsory sale of council houses generate receipts that may be retained to cover the cost of transacting the sales and to cover outstanding debt on the property sold, but a proportion of the remainder must be surrendered to Central Government. </w:t>
      </w:r>
      <w:r w:rsidRPr="00C840C9">
        <w:rPr>
          <w:color w:val="FF0000"/>
        </w:rPr>
        <w:t xml:space="preserve">Though for 2022/23 and 2023/24 the Government has allowed LA to all receipts subject to restrictions. </w:t>
      </w:r>
      <w:r w:rsidRPr="00C840C9">
        <w:rPr>
          <w:rFonts w:cs="Arial"/>
        </w:rPr>
        <w:t xml:space="preserve"> </w:t>
      </w:r>
    </w:p>
    <w:p w14:paraId="60D189E2" w14:textId="77777777" w:rsidR="00C840C9" w:rsidRPr="00C840C9" w:rsidRDefault="00C840C9" w:rsidP="00C840C9">
      <w:pPr>
        <w:jc w:val="both"/>
        <w:rPr>
          <w:rFonts w:cs="Arial"/>
        </w:rPr>
      </w:pPr>
    </w:p>
    <w:p w14:paraId="61A3816F" w14:textId="77777777" w:rsidR="00C840C9" w:rsidRPr="00592915" w:rsidRDefault="00C840C9" w:rsidP="00C840C9">
      <w:pPr>
        <w:jc w:val="both"/>
        <w:rPr>
          <w:rFonts w:cs="Arial"/>
        </w:rPr>
      </w:pPr>
      <w:r w:rsidRPr="00C840C9">
        <w:rPr>
          <w:rFonts w:cs="Arial"/>
        </w:rPr>
        <w:t>All other HRA capital receipts may be retained provided they are spent on affordable housing, regeneration or paying off housing debt.</w:t>
      </w:r>
      <w:r w:rsidRPr="00592915">
        <w:rPr>
          <w:rFonts w:cs="Arial"/>
        </w:rPr>
        <w:t xml:space="preserve"> </w:t>
      </w:r>
    </w:p>
    <w:p w14:paraId="58A97376" w14:textId="77777777" w:rsidR="00C840C9" w:rsidRPr="00592915" w:rsidRDefault="00C840C9" w:rsidP="00C840C9">
      <w:pPr>
        <w:jc w:val="both"/>
        <w:rPr>
          <w:rFonts w:cs="Arial"/>
        </w:rPr>
      </w:pPr>
    </w:p>
    <w:p w14:paraId="77BF6488" w14:textId="77777777" w:rsidR="00C840C9" w:rsidRPr="00592915" w:rsidRDefault="00C840C9" w:rsidP="00C840C9">
      <w:pPr>
        <w:jc w:val="both"/>
        <w:rPr>
          <w:rFonts w:cs="Arial"/>
        </w:rPr>
      </w:pPr>
      <w:r w:rsidRPr="00592915">
        <w:rPr>
          <w:rFonts w:cs="Arial"/>
        </w:rPr>
        <w:t xml:space="preserve">General Fund capital receipts can be retained in full. These can arise from the sale of land and buildings, vehicles, </w:t>
      </w:r>
      <w:proofErr w:type="gramStart"/>
      <w:r w:rsidRPr="00592915">
        <w:rPr>
          <w:rFonts w:cs="Arial"/>
        </w:rPr>
        <w:t>plant</w:t>
      </w:r>
      <w:proofErr w:type="gramEnd"/>
      <w:r w:rsidRPr="00592915">
        <w:rPr>
          <w:rFonts w:cs="Arial"/>
        </w:rPr>
        <w:t xml:space="preserve"> and equipment, and also through the repayment of loans or grants. </w:t>
      </w:r>
    </w:p>
    <w:p w14:paraId="0480C07A" w14:textId="77777777" w:rsidR="00C840C9" w:rsidRPr="00592915" w:rsidRDefault="00C840C9" w:rsidP="00C840C9">
      <w:pPr>
        <w:jc w:val="both"/>
        <w:rPr>
          <w:rFonts w:cs="Arial"/>
        </w:rPr>
      </w:pPr>
    </w:p>
    <w:p w14:paraId="5A64C097" w14:textId="77777777" w:rsidR="00C840C9" w:rsidRPr="00592915" w:rsidRDefault="00C840C9" w:rsidP="00C840C9">
      <w:pPr>
        <w:jc w:val="both"/>
        <w:rPr>
          <w:rFonts w:cs="Arial"/>
        </w:rPr>
      </w:pPr>
      <w:r w:rsidRPr="00592915">
        <w:rPr>
          <w:rFonts w:cs="Arial"/>
        </w:rPr>
        <w:t xml:space="preserve">An active asset management planning process is needed to review the asset requirements of the Council and therefore to identify surplus assets which may be sold to generate capital receipts. </w:t>
      </w:r>
    </w:p>
    <w:p w14:paraId="663D4A81" w14:textId="77777777" w:rsidR="00C840C9" w:rsidRPr="00592915" w:rsidRDefault="00C840C9" w:rsidP="00C840C9">
      <w:pPr>
        <w:jc w:val="both"/>
        <w:rPr>
          <w:rFonts w:cs="Arial"/>
          <w:b/>
          <w:bCs/>
        </w:rPr>
      </w:pPr>
    </w:p>
    <w:p w14:paraId="5860150C" w14:textId="77777777" w:rsidR="00C840C9" w:rsidRPr="00592915" w:rsidRDefault="00C840C9" w:rsidP="00C840C9">
      <w:pPr>
        <w:jc w:val="both"/>
        <w:rPr>
          <w:rFonts w:cs="Arial"/>
        </w:rPr>
      </w:pPr>
      <w:r w:rsidRPr="00592915">
        <w:rPr>
          <w:rFonts w:cs="Arial"/>
          <w:b/>
          <w:bCs/>
        </w:rPr>
        <w:t xml:space="preserve">Prudential Borrowing </w:t>
      </w:r>
    </w:p>
    <w:p w14:paraId="7914538F" w14:textId="77777777" w:rsidR="00C840C9" w:rsidRPr="00592915" w:rsidRDefault="00C840C9" w:rsidP="00C840C9">
      <w:pPr>
        <w:jc w:val="both"/>
        <w:rPr>
          <w:rFonts w:cs="Arial"/>
        </w:rPr>
      </w:pPr>
    </w:p>
    <w:p w14:paraId="1BD68BDD" w14:textId="77777777" w:rsidR="00C840C9" w:rsidRPr="00592915" w:rsidRDefault="00C840C9" w:rsidP="00C840C9">
      <w:pPr>
        <w:jc w:val="both"/>
        <w:rPr>
          <w:rFonts w:cs="Arial"/>
        </w:rPr>
      </w:pPr>
      <w:r w:rsidRPr="00592915">
        <w:rPr>
          <w:rFonts w:cs="Arial"/>
        </w:rPr>
        <w:t xml:space="preserve">The Council </w:t>
      </w:r>
      <w:proofErr w:type="gramStart"/>
      <w:r w:rsidRPr="00592915">
        <w:rPr>
          <w:rFonts w:cs="Arial"/>
        </w:rPr>
        <w:t>is able to</w:t>
      </w:r>
      <w:proofErr w:type="gramEnd"/>
      <w:r w:rsidRPr="00592915">
        <w:rPr>
          <w:rFonts w:cs="Arial"/>
        </w:rPr>
        <w:t xml:space="preserve"> borrow money on the money market or from the Public Works Loans Board (PWLB) to fund capital schemes. A preferential Certainty Rate of interest is allocated to Councils who apply for </w:t>
      </w:r>
      <w:proofErr w:type="gramStart"/>
      <w:r w:rsidRPr="00592915">
        <w:rPr>
          <w:rFonts w:cs="Arial"/>
        </w:rPr>
        <w:t>it</w:t>
      </w:r>
      <w:proofErr w:type="gramEnd"/>
      <w:r w:rsidRPr="00592915">
        <w:rPr>
          <w:rFonts w:cs="Arial"/>
        </w:rPr>
        <w:t xml:space="preserve"> and it is the policy of this Council to take advantage of the certainty rate each year. </w:t>
      </w:r>
    </w:p>
    <w:p w14:paraId="10C05AF4" w14:textId="77777777" w:rsidR="00C840C9" w:rsidRPr="00592915" w:rsidRDefault="00C840C9" w:rsidP="00C840C9">
      <w:pPr>
        <w:jc w:val="both"/>
        <w:rPr>
          <w:rFonts w:cs="Arial"/>
        </w:rPr>
      </w:pPr>
    </w:p>
    <w:p w14:paraId="3E6E08EC" w14:textId="77777777" w:rsidR="00C840C9" w:rsidRPr="00592915" w:rsidRDefault="00C840C9" w:rsidP="00C840C9">
      <w:pPr>
        <w:jc w:val="both"/>
        <w:rPr>
          <w:rFonts w:cs="Arial"/>
        </w:rPr>
      </w:pPr>
      <w:r w:rsidRPr="00592915">
        <w:rPr>
          <w:rFonts w:cs="Arial"/>
        </w:rPr>
        <w:t xml:space="preserve">For all schemes initially funded from borrowing, the Council will have to fund the repayment and interest costs as there is no longer any central government “supported borrowing” allocations and related revenue support. </w:t>
      </w:r>
    </w:p>
    <w:p w14:paraId="1E592E1D" w14:textId="77777777" w:rsidR="00C840C9" w:rsidRPr="00592915" w:rsidRDefault="00C840C9" w:rsidP="00C840C9">
      <w:pPr>
        <w:jc w:val="both"/>
        <w:rPr>
          <w:rFonts w:cs="Arial"/>
        </w:rPr>
      </w:pPr>
    </w:p>
    <w:p w14:paraId="5E4AC2FC" w14:textId="77777777" w:rsidR="00C840C9" w:rsidRPr="00592915" w:rsidRDefault="00C840C9" w:rsidP="00C840C9">
      <w:pPr>
        <w:jc w:val="both"/>
        <w:rPr>
          <w:rFonts w:cs="Arial"/>
        </w:rPr>
      </w:pPr>
      <w:r w:rsidRPr="00592915">
        <w:rPr>
          <w:rFonts w:cs="Arial"/>
        </w:rPr>
        <w:t xml:space="preserve">The Council is only able to borrow for Prudential Borrowing, under the guidance contained in the CIPFA Prudential Code whereby, in summary, the Council is required to ensure that all borrowing is both prudent and affordable. All schemes funded from prudential borrowing are approved by full Council. As part of the Treasury Management Strategy each year full Council approves a limit for affordable borrowing and capital schemes will be considered in the light of that limit. </w:t>
      </w:r>
    </w:p>
    <w:p w14:paraId="75271D14" w14:textId="77777777" w:rsidR="00C840C9" w:rsidRPr="00592915" w:rsidRDefault="00C840C9" w:rsidP="00C840C9">
      <w:pPr>
        <w:jc w:val="both"/>
        <w:rPr>
          <w:rFonts w:cs="Arial"/>
          <w:b/>
          <w:bCs/>
        </w:rPr>
      </w:pPr>
    </w:p>
    <w:p w14:paraId="789378CE" w14:textId="77777777" w:rsidR="00C840C9" w:rsidRPr="00592915" w:rsidRDefault="00C840C9" w:rsidP="00C840C9">
      <w:pPr>
        <w:jc w:val="both"/>
        <w:rPr>
          <w:rFonts w:cs="Arial"/>
          <w:b/>
          <w:bCs/>
        </w:rPr>
      </w:pPr>
      <w:r w:rsidRPr="00592915">
        <w:rPr>
          <w:rFonts w:cs="Arial"/>
          <w:b/>
          <w:bCs/>
        </w:rPr>
        <w:t>20.External Funding Sources</w:t>
      </w:r>
    </w:p>
    <w:p w14:paraId="4C8E7072" w14:textId="77777777" w:rsidR="00C840C9" w:rsidRPr="00592915" w:rsidRDefault="00C840C9" w:rsidP="00C840C9">
      <w:pPr>
        <w:jc w:val="both"/>
        <w:rPr>
          <w:rFonts w:cs="Arial"/>
        </w:rPr>
      </w:pPr>
    </w:p>
    <w:p w14:paraId="0F7C97C3" w14:textId="77777777" w:rsidR="00C840C9" w:rsidRPr="00592915" w:rsidRDefault="00C840C9" w:rsidP="00C840C9">
      <w:pPr>
        <w:jc w:val="both"/>
        <w:rPr>
          <w:rFonts w:cs="Arial"/>
        </w:rPr>
      </w:pPr>
      <w:r w:rsidRPr="00592915">
        <w:rPr>
          <w:rFonts w:cs="Arial"/>
          <w:b/>
          <w:bCs/>
        </w:rPr>
        <w:t xml:space="preserve">Capital Grant from Government or Government Agency </w:t>
      </w:r>
    </w:p>
    <w:p w14:paraId="39D6DF38" w14:textId="77777777" w:rsidR="00C840C9" w:rsidRPr="00592915" w:rsidRDefault="00C840C9" w:rsidP="00C840C9">
      <w:pPr>
        <w:jc w:val="both"/>
        <w:rPr>
          <w:rFonts w:cs="Arial"/>
        </w:rPr>
      </w:pPr>
    </w:p>
    <w:p w14:paraId="033E36D9" w14:textId="77777777" w:rsidR="00C840C9" w:rsidRPr="00592915" w:rsidRDefault="00C840C9" w:rsidP="00C840C9">
      <w:pPr>
        <w:jc w:val="both"/>
        <w:rPr>
          <w:rFonts w:cs="Arial"/>
        </w:rPr>
      </w:pPr>
      <w:r w:rsidRPr="00592915">
        <w:rPr>
          <w:rFonts w:cs="Arial"/>
        </w:rPr>
        <w:t xml:space="preserve">Central government and government agencies provide capital grant funding that can be either ring fenced, or non-ring fenced. Examples of ring-fenced </w:t>
      </w:r>
      <w:r w:rsidRPr="00592915">
        <w:rPr>
          <w:rFonts w:cs="Arial"/>
        </w:rPr>
        <w:lastRenderedPageBreak/>
        <w:t xml:space="preserve">grants that the Council has received are disabled facilities grants (DFG’s) and </w:t>
      </w:r>
      <w:r>
        <w:rPr>
          <w:rFonts w:cs="Arial"/>
        </w:rPr>
        <w:t>Transport for London (TfL)</w:t>
      </w:r>
      <w:r w:rsidRPr="00592915">
        <w:rPr>
          <w:rFonts w:cs="Arial"/>
        </w:rPr>
        <w:t xml:space="preserve"> funding. </w:t>
      </w:r>
    </w:p>
    <w:p w14:paraId="04CACB99" w14:textId="77777777" w:rsidR="00C840C9" w:rsidRPr="00592915" w:rsidRDefault="00C840C9" w:rsidP="00C840C9">
      <w:pPr>
        <w:jc w:val="both"/>
        <w:rPr>
          <w:rFonts w:cs="Arial"/>
          <w:b/>
          <w:bCs/>
        </w:rPr>
      </w:pPr>
    </w:p>
    <w:p w14:paraId="72F158DD" w14:textId="77777777" w:rsidR="00C840C9" w:rsidRPr="00592915" w:rsidRDefault="00C840C9" w:rsidP="00C840C9">
      <w:pPr>
        <w:jc w:val="both"/>
        <w:rPr>
          <w:rFonts w:cs="Arial"/>
        </w:rPr>
      </w:pPr>
      <w:r w:rsidRPr="00592915">
        <w:rPr>
          <w:rFonts w:cs="Arial"/>
          <w:b/>
          <w:bCs/>
        </w:rPr>
        <w:t xml:space="preserve">Community Infrastructure Levy (CIL) </w:t>
      </w:r>
    </w:p>
    <w:p w14:paraId="2FEB1488" w14:textId="77777777" w:rsidR="00C840C9" w:rsidRPr="00592915" w:rsidRDefault="00C840C9" w:rsidP="00C840C9">
      <w:pPr>
        <w:jc w:val="both"/>
        <w:rPr>
          <w:rFonts w:cs="Arial"/>
        </w:rPr>
      </w:pPr>
    </w:p>
    <w:p w14:paraId="687F7281" w14:textId="77777777" w:rsidR="00C840C9" w:rsidRPr="00592915" w:rsidRDefault="00C840C9" w:rsidP="00C840C9">
      <w:pPr>
        <w:jc w:val="both"/>
        <w:rPr>
          <w:rFonts w:cs="Arial"/>
        </w:rPr>
      </w:pPr>
      <w:r w:rsidRPr="00592915">
        <w:rPr>
          <w:rFonts w:cs="Arial"/>
        </w:rPr>
        <w:t xml:space="preserve">Any monies received from developers for infrastructure from the Community Infrastructure Levy will not be allocated to a specific service but will be allocated under the CIL arrangements (“the Regulation 123 List”) in line with Council’s capital scheme priorities. </w:t>
      </w:r>
    </w:p>
    <w:p w14:paraId="7C58BB8A" w14:textId="77777777" w:rsidR="00C840C9" w:rsidRPr="00592915" w:rsidRDefault="00C840C9" w:rsidP="00C840C9">
      <w:pPr>
        <w:jc w:val="both"/>
        <w:rPr>
          <w:rFonts w:cs="Arial"/>
        </w:rPr>
      </w:pPr>
    </w:p>
    <w:p w14:paraId="731FA6EC" w14:textId="77777777" w:rsidR="00C840C9" w:rsidRPr="00592915" w:rsidRDefault="00C840C9" w:rsidP="00C840C9">
      <w:pPr>
        <w:jc w:val="both"/>
        <w:rPr>
          <w:rFonts w:cs="Arial"/>
          <w:b/>
        </w:rPr>
      </w:pPr>
      <w:r w:rsidRPr="00592915">
        <w:rPr>
          <w:rFonts w:cs="Arial"/>
        </w:rPr>
        <w:t>The process for allocating CIL funds will be in accordance with the process agreed by Cabinet</w:t>
      </w:r>
      <w:r>
        <w:rPr>
          <w:rFonts w:cs="Arial"/>
        </w:rPr>
        <w:t>.</w:t>
      </w:r>
    </w:p>
    <w:p w14:paraId="2053AD70" w14:textId="77777777" w:rsidR="00C840C9" w:rsidRPr="00592915" w:rsidRDefault="00C840C9" w:rsidP="00C840C9">
      <w:pPr>
        <w:tabs>
          <w:tab w:val="num" w:pos="1985"/>
        </w:tabs>
        <w:jc w:val="both"/>
        <w:rPr>
          <w:rFonts w:cs="Arial"/>
          <w:b/>
        </w:rPr>
      </w:pPr>
    </w:p>
    <w:p w14:paraId="45316559" w14:textId="77777777" w:rsidR="00C840C9" w:rsidRPr="00592915" w:rsidRDefault="00C840C9" w:rsidP="00C840C9">
      <w:pPr>
        <w:jc w:val="both"/>
        <w:rPr>
          <w:rFonts w:cs="Arial"/>
        </w:rPr>
      </w:pPr>
      <w:r w:rsidRPr="00592915">
        <w:rPr>
          <w:rFonts w:cs="Arial"/>
        </w:rPr>
        <w:t xml:space="preserve">The Community Infrastructure Levy (CIL) enables the council to raise funds for infrastructure from new development. It is levied on the net increase in floor space arising from new developments and is paid when that development starts. The Community Infrastructure Levy (CIL) is a tool for local authorities to support the development of their area by funding the provision, improvement, replacement, </w:t>
      </w:r>
      <w:proofErr w:type="gramStart"/>
      <w:r w:rsidRPr="00592915">
        <w:rPr>
          <w:rFonts w:cs="Arial"/>
        </w:rPr>
        <w:t>operation</w:t>
      </w:r>
      <w:proofErr w:type="gramEnd"/>
      <w:r w:rsidRPr="00592915">
        <w:rPr>
          <w:rFonts w:cs="Arial"/>
        </w:rPr>
        <w:t xml:space="preserve"> or maintenance of infrastructure. </w:t>
      </w:r>
      <w:proofErr w:type="gramStart"/>
      <w:r w:rsidRPr="00592915">
        <w:rPr>
          <w:rFonts w:cs="Arial"/>
        </w:rPr>
        <w:t>However</w:t>
      </w:r>
      <w:proofErr w:type="gramEnd"/>
      <w:r w:rsidRPr="00592915">
        <w:rPr>
          <w:rFonts w:cs="Arial"/>
        </w:rPr>
        <w:t xml:space="preserve"> the focus of CIL is on the delivery of new infrastructure to meet and mitigate the impacts of new development in an area.</w:t>
      </w:r>
    </w:p>
    <w:p w14:paraId="1309E200" w14:textId="77777777" w:rsidR="00C840C9" w:rsidRPr="00592915" w:rsidRDefault="00C840C9" w:rsidP="00C840C9">
      <w:pPr>
        <w:jc w:val="both"/>
        <w:rPr>
          <w:rFonts w:cs="Arial"/>
        </w:rPr>
      </w:pPr>
    </w:p>
    <w:p w14:paraId="7D2FC53B" w14:textId="77777777" w:rsidR="00C840C9" w:rsidRPr="00592915" w:rsidRDefault="00C840C9" w:rsidP="00C840C9">
      <w:pPr>
        <w:jc w:val="both"/>
        <w:rPr>
          <w:rFonts w:cs="Arial"/>
        </w:rPr>
      </w:pPr>
      <w:r w:rsidRPr="00592915">
        <w:rPr>
          <w:rFonts w:cs="Arial"/>
        </w:rPr>
        <w:t xml:space="preserve">CIL receipts can be used to fund a wide range of infrastructure including transport, schools, health and social care facilities, libraries, play areas, green </w:t>
      </w:r>
      <w:proofErr w:type="gramStart"/>
      <w:r w:rsidRPr="00592915">
        <w:rPr>
          <w:rFonts w:cs="Arial"/>
        </w:rPr>
        <w:t>spaces</w:t>
      </w:r>
      <w:proofErr w:type="gramEnd"/>
      <w:r w:rsidRPr="00592915">
        <w:rPr>
          <w:rFonts w:cs="Arial"/>
        </w:rPr>
        <w:t xml:space="preserve"> and sports facilities. Harrow’s list of strategic infrastructure requirements known as a Regulation 123 list is shown below:   </w:t>
      </w:r>
    </w:p>
    <w:p w14:paraId="2CAE6138" w14:textId="77777777" w:rsidR="00C840C9" w:rsidRPr="00592915" w:rsidRDefault="00C840C9" w:rsidP="00C840C9">
      <w:pPr>
        <w:ind w:left="851"/>
        <w:jc w:val="both"/>
        <w:rPr>
          <w:rFonts w:cs="Arial"/>
        </w:rPr>
      </w:pPr>
    </w:p>
    <w:p w14:paraId="38D473B1" w14:textId="77777777" w:rsidR="00C840C9" w:rsidRPr="00592915" w:rsidRDefault="00C840C9" w:rsidP="00C840C9">
      <w:pPr>
        <w:ind w:left="851"/>
        <w:jc w:val="both"/>
        <w:rPr>
          <w:rFonts w:cs="Arial"/>
        </w:rPr>
      </w:pPr>
      <w:r w:rsidRPr="00592915">
        <w:rPr>
          <w:rFonts w:cs="Arial"/>
          <w:noProof/>
          <w:bdr w:val="dotted" w:sz="4" w:space="0" w:color="auto" w:frame="1"/>
          <w:lang w:eastAsia="en-GB"/>
        </w:rPr>
        <w:drawing>
          <wp:inline distT="0" distB="0" distL="0" distR="0" wp14:anchorId="4A53AB29" wp14:editId="06DA0E01">
            <wp:extent cx="4972050" cy="3441700"/>
            <wp:effectExtent l="0" t="0" r="0" b="6350"/>
            <wp:docPr id="10" name="Picture 10"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ble&#10;&#10;Description automatically generated"/>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972050" cy="3441700"/>
                    </a:xfrm>
                    <a:prstGeom prst="rect">
                      <a:avLst/>
                    </a:prstGeom>
                    <a:noFill/>
                    <a:ln>
                      <a:noFill/>
                    </a:ln>
                  </pic:spPr>
                </pic:pic>
              </a:graphicData>
            </a:graphic>
          </wp:inline>
        </w:drawing>
      </w:r>
    </w:p>
    <w:p w14:paraId="496718AE" w14:textId="77777777" w:rsidR="00C840C9" w:rsidRPr="00592915" w:rsidRDefault="00C840C9" w:rsidP="00C840C9">
      <w:pPr>
        <w:ind w:left="360"/>
        <w:contextualSpacing/>
        <w:jc w:val="both"/>
        <w:rPr>
          <w:rFonts w:cs="Arial"/>
        </w:rPr>
      </w:pPr>
    </w:p>
    <w:p w14:paraId="132A9AB7" w14:textId="77777777" w:rsidR="00C840C9" w:rsidRPr="00592915" w:rsidRDefault="00C840C9" w:rsidP="00C840C9">
      <w:pPr>
        <w:jc w:val="both"/>
        <w:rPr>
          <w:rFonts w:cs="Arial"/>
          <w:lang w:val="en"/>
        </w:rPr>
      </w:pPr>
      <w:r w:rsidRPr="00592915">
        <w:rPr>
          <w:rFonts w:cs="Arial"/>
          <w:lang w:val="en"/>
        </w:rPr>
        <w:t xml:space="preserve">Of all CIL monies collected, 85% is used to fund strategic borough wide infrastructure projects, which includes a 5% allowance to cover the administrative costs of CIL. The decisions on where to spend CIL </w:t>
      </w:r>
      <w:r w:rsidRPr="00592915">
        <w:rPr>
          <w:rFonts w:cs="Arial"/>
        </w:rPr>
        <w:t>at a borough-</w:t>
      </w:r>
      <w:r w:rsidRPr="00592915">
        <w:rPr>
          <w:rFonts w:cs="Arial"/>
        </w:rPr>
        <w:lastRenderedPageBreak/>
        <w:t xml:space="preserve">wide level is determined by the Council. The remaining 15% is allocated to Neighbourhood CIL (NCIL) and must be spent on projects that have taken account of the views of the communities in which the income was </w:t>
      </w:r>
      <w:proofErr w:type="gramStart"/>
      <w:r w:rsidRPr="00592915">
        <w:rPr>
          <w:rFonts w:cs="Arial"/>
        </w:rPr>
        <w:t>generated</w:t>
      </w:r>
      <w:proofErr w:type="gramEnd"/>
      <w:r w:rsidRPr="00592915">
        <w:rPr>
          <w:rFonts w:cs="Arial"/>
        </w:rPr>
        <w:t xml:space="preserve"> and these projects should support the development of the area. </w:t>
      </w:r>
    </w:p>
    <w:p w14:paraId="647E073D" w14:textId="77777777" w:rsidR="00C840C9" w:rsidRPr="00592915" w:rsidRDefault="00C840C9" w:rsidP="00C840C9">
      <w:pPr>
        <w:jc w:val="both"/>
        <w:rPr>
          <w:rFonts w:cs="Arial"/>
        </w:rPr>
      </w:pPr>
    </w:p>
    <w:p w14:paraId="51E8A82B" w14:textId="77777777" w:rsidR="00C840C9" w:rsidRDefault="00C840C9" w:rsidP="00C840C9">
      <w:pPr>
        <w:jc w:val="both"/>
      </w:pPr>
      <w:bookmarkStart w:id="38" w:name="_Hlk63164348"/>
      <w:r w:rsidRPr="00262003">
        <w:t>In 2017, the principle was adopted by the Major Development Panel (14</w:t>
      </w:r>
      <w:r w:rsidRPr="00262003">
        <w:rPr>
          <w:vertAlign w:val="superscript"/>
        </w:rPr>
        <w:t>th</w:t>
      </w:r>
      <w:r w:rsidRPr="00262003">
        <w:t xml:space="preserve"> November 2017) and Cabinet (7</w:t>
      </w:r>
      <w:r w:rsidRPr="00262003">
        <w:rPr>
          <w:vertAlign w:val="superscript"/>
        </w:rPr>
        <w:t>th</w:t>
      </w:r>
      <w:r w:rsidRPr="00262003">
        <w:t xml:space="preserve"> December 2017) that the allocation of Borough and Neighbourhood CIL is included as part of the Annual Budget Setting process and included in the Capital Programme report which goes to Cabinet in draft </w:t>
      </w:r>
      <w:r>
        <w:t>(in December</w:t>
      </w:r>
      <w:r w:rsidRPr="00262003">
        <w:t xml:space="preserve"> </w:t>
      </w:r>
      <w:r>
        <w:t xml:space="preserve">each year) </w:t>
      </w:r>
      <w:r w:rsidRPr="00262003">
        <w:t>and in its final version</w:t>
      </w:r>
      <w:r>
        <w:t xml:space="preserve"> </w:t>
      </w:r>
      <w:r w:rsidRPr="00262003">
        <w:t>in February</w:t>
      </w:r>
      <w:r>
        <w:t xml:space="preserve"> (this report)</w:t>
      </w:r>
      <w:r w:rsidRPr="00262003">
        <w:t>. In agreeing the Borough CIL allocations process, Cabinet also indicated that this should be informed by the Harrow Local Plan, Infrastructure Delivery Plan (IDP), corporate priorities and external funding opportunities</w:t>
      </w:r>
      <w:r>
        <w:t>.</w:t>
      </w:r>
    </w:p>
    <w:p w14:paraId="658860DF" w14:textId="77777777" w:rsidR="00C840C9" w:rsidRDefault="00C840C9" w:rsidP="00C840C9">
      <w:pPr>
        <w:jc w:val="both"/>
      </w:pPr>
    </w:p>
    <w:p w14:paraId="3BF93064" w14:textId="77777777" w:rsidR="00C840C9" w:rsidRDefault="00C840C9" w:rsidP="00C840C9">
      <w:pPr>
        <w:tabs>
          <w:tab w:val="num" w:pos="426"/>
          <w:tab w:val="num" w:pos="1985"/>
        </w:tabs>
        <w:jc w:val="both"/>
        <w:rPr>
          <w:rFonts w:cs="Arial"/>
        </w:rPr>
      </w:pPr>
      <w:bookmarkStart w:id="39" w:name="_Hlk126054394"/>
      <w:bookmarkEnd w:id="38"/>
      <w:r w:rsidRPr="00262003">
        <w:t xml:space="preserve">In this regard, a new Local Plan is currently being prepared and this will be informed by an updated IDP (due mid-2024). The IDP will provide an </w:t>
      </w:r>
      <w:proofErr w:type="gramStart"/>
      <w:r w:rsidRPr="00262003">
        <w:t>up to date</w:t>
      </w:r>
      <w:proofErr w:type="gramEnd"/>
      <w:r>
        <w:t xml:space="preserve"> </w:t>
      </w:r>
      <w:r w:rsidRPr="00262003">
        <w:t>assessment of infrastructure required to support the development envisaged in the new Local Plan, including the increased housing targets set by the London Plan. In this context, it is considered prudent not to fully allocate current BCIL balances / anticipated receipts as the forthcoming IDP may identify infrastructure needs that would benefit from BCIL to ensure timely provision</w:t>
      </w:r>
      <w:r>
        <w:t>.</w:t>
      </w:r>
    </w:p>
    <w:p w14:paraId="61C23CF3" w14:textId="77777777" w:rsidR="00C840C9" w:rsidRDefault="00C840C9" w:rsidP="00C840C9">
      <w:pPr>
        <w:tabs>
          <w:tab w:val="num" w:pos="426"/>
          <w:tab w:val="num" w:pos="1985"/>
        </w:tabs>
        <w:jc w:val="both"/>
        <w:rPr>
          <w:rFonts w:cs="Arial"/>
        </w:rPr>
      </w:pPr>
    </w:p>
    <w:p w14:paraId="73A92132" w14:textId="77777777" w:rsidR="00C840C9" w:rsidRDefault="00C840C9" w:rsidP="00C840C9">
      <w:pPr>
        <w:tabs>
          <w:tab w:val="num" w:pos="426"/>
          <w:tab w:val="num" w:pos="1985"/>
        </w:tabs>
        <w:jc w:val="both"/>
      </w:pPr>
      <w:r w:rsidRPr="007B297B">
        <w:t xml:space="preserve">In terms of the Neighbourhood element of CIL (NCIL) a review of the process </w:t>
      </w:r>
      <w:r>
        <w:t>was undertaken during 2022/23, and the outcomes and recommendations were presented to Cabinet in February 2023. A new process of NCIL allocation and project delivery is now in place.</w:t>
      </w:r>
    </w:p>
    <w:p w14:paraId="3A6B8316" w14:textId="77777777" w:rsidR="00C840C9" w:rsidRDefault="00C840C9" w:rsidP="00C840C9">
      <w:pPr>
        <w:tabs>
          <w:tab w:val="num" w:pos="426"/>
          <w:tab w:val="num" w:pos="1985"/>
        </w:tabs>
        <w:jc w:val="both"/>
      </w:pPr>
    </w:p>
    <w:bookmarkEnd w:id="39"/>
    <w:p w14:paraId="4990A9A6" w14:textId="77777777" w:rsidR="00C840C9" w:rsidRPr="00592915" w:rsidRDefault="00C840C9" w:rsidP="00C840C9">
      <w:pPr>
        <w:tabs>
          <w:tab w:val="num" w:pos="567"/>
          <w:tab w:val="num" w:pos="1985"/>
        </w:tabs>
        <w:jc w:val="both"/>
        <w:rPr>
          <w:rFonts w:cs="Arial"/>
        </w:rPr>
      </w:pPr>
      <w:r w:rsidRPr="00592915">
        <w:rPr>
          <w:rFonts w:cs="Arial"/>
        </w:rPr>
        <w:t>The Borough CIL element will be used to fund the core Capital programme and can be considered as a funding source for new capital bids as well as existing projects in the Capital programme.</w:t>
      </w:r>
      <w:r>
        <w:rPr>
          <w:rFonts w:cs="Arial"/>
        </w:rPr>
        <w:t xml:space="preserve"> </w:t>
      </w:r>
      <w:r>
        <w:rPr>
          <w:rFonts w:cs="Arial"/>
          <w:szCs w:val="24"/>
        </w:rPr>
        <w:t>Considerations should also be given on the allocation of BCIL funding while the updated IDP and Harrow Local Plan are being prepared.</w:t>
      </w:r>
    </w:p>
    <w:p w14:paraId="4DC92A28" w14:textId="77777777" w:rsidR="00C840C9" w:rsidRPr="00592915" w:rsidRDefault="00C840C9" w:rsidP="00C840C9">
      <w:pPr>
        <w:tabs>
          <w:tab w:val="num" w:pos="1985"/>
        </w:tabs>
        <w:ind w:left="567"/>
        <w:jc w:val="both"/>
        <w:rPr>
          <w:rFonts w:cs="Arial"/>
        </w:rPr>
      </w:pPr>
    </w:p>
    <w:p w14:paraId="39632D1A" w14:textId="77777777" w:rsidR="00C840C9" w:rsidRPr="00592915" w:rsidRDefault="00C840C9" w:rsidP="00C840C9">
      <w:pPr>
        <w:tabs>
          <w:tab w:val="num" w:pos="567"/>
          <w:tab w:val="num" w:pos="1985"/>
        </w:tabs>
        <w:jc w:val="both"/>
        <w:rPr>
          <w:rFonts w:cs="Arial"/>
        </w:rPr>
      </w:pPr>
      <w:r w:rsidRPr="00592915">
        <w:rPr>
          <w:rFonts w:cs="Arial"/>
        </w:rPr>
        <w:t xml:space="preserve">In addition to the principles already reached on how CIL funding should be used to fund the capital programme, </w:t>
      </w:r>
      <w:proofErr w:type="gramStart"/>
      <w:r w:rsidRPr="00592915">
        <w:rPr>
          <w:rFonts w:cs="Arial"/>
        </w:rPr>
        <w:t>in light of</w:t>
      </w:r>
      <w:proofErr w:type="gramEnd"/>
      <w:r w:rsidRPr="00592915">
        <w:rPr>
          <w:rFonts w:cs="Arial"/>
        </w:rPr>
        <w:t xml:space="preserve"> the budget gaps in future years, it was recommended by Cabinet in December 2018, that CIL should be </w:t>
      </w:r>
      <w:r w:rsidRPr="00592915">
        <w:rPr>
          <w:rFonts w:cs="Arial"/>
          <w:b/>
        </w:rPr>
        <w:t>first</w:t>
      </w:r>
      <w:r w:rsidRPr="00592915">
        <w:rPr>
          <w:rFonts w:cs="Arial"/>
        </w:rPr>
        <w:t xml:space="preserve"> be applied to any schemes in the existing capital programme rather than applying it to new schemes.  The rationale for this is that if applied to schemes that are currently funded from borrowing, by funding from CIL instead, this will reduce the existing capital financing costs. </w:t>
      </w:r>
    </w:p>
    <w:p w14:paraId="2CC61FDB" w14:textId="77777777" w:rsidR="00C840C9" w:rsidRPr="00592915" w:rsidRDefault="00C840C9" w:rsidP="00C840C9">
      <w:pPr>
        <w:jc w:val="both"/>
        <w:rPr>
          <w:rFonts w:cs="Arial"/>
          <w:b/>
          <w:bCs/>
        </w:rPr>
      </w:pPr>
    </w:p>
    <w:p w14:paraId="47C0CD21" w14:textId="77777777" w:rsidR="00C840C9" w:rsidRPr="00592915" w:rsidRDefault="00C840C9" w:rsidP="00C840C9">
      <w:pPr>
        <w:jc w:val="both"/>
        <w:rPr>
          <w:rFonts w:cs="Arial"/>
        </w:rPr>
      </w:pPr>
      <w:r w:rsidRPr="00592915">
        <w:rPr>
          <w:rFonts w:cs="Arial"/>
          <w:b/>
          <w:bCs/>
        </w:rPr>
        <w:t xml:space="preserve">Section 106 Agreements </w:t>
      </w:r>
    </w:p>
    <w:p w14:paraId="4A8A4A26" w14:textId="77777777" w:rsidR="00C840C9" w:rsidRPr="00592915" w:rsidRDefault="00C840C9" w:rsidP="00C840C9">
      <w:pPr>
        <w:jc w:val="both"/>
        <w:rPr>
          <w:rFonts w:cs="Arial"/>
        </w:rPr>
      </w:pPr>
    </w:p>
    <w:p w14:paraId="364B6182" w14:textId="77777777" w:rsidR="00C840C9" w:rsidRPr="00592915" w:rsidRDefault="00C840C9" w:rsidP="00C840C9">
      <w:pPr>
        <w:jc w:val="both"/>
        <w:rPr>
          <w:rFonts w:cs="Arial"/>
        </w:rPr>
      </w:pPr>
      <w:r w:rsidRPr="00592915">
        <w:rPr>
          <w:rFonts w:cs="Arial"/>
        </w:rPr>
        <w:t xml:space="preserve">Developer consents may attract Section 106 funding to spend on a particular asset or site as an alternative to CIL. </w:t>
      </w:r>
    </w:p>
    <w:p w14:paraId="04E87991" w14:textId="77777777" w:rsidR="00C840C9" w:rsidRPr="00592915" w:rsidRDefault="00C840C9" w:rsidP="00C840C9">
      <w:pPr>
        <w:jc w:val="both"/>
        <w:rPr>
          <w:rFonts w:cs="Arial"/>
          <w:b/>
          <w:bCs/>
        </w:rPr>
      </w:pPr>
    </w:p>
    <w:p w14:paraId="658C7223" w14:textId="77777777" w:rsidR="00C840C9" w:rsidRPr="00592915" w:rsidRDefault="00C840C9" w:rsidP="00C840C9">
      <w:pPr>
        <w:jc w:val="both"/>
        <w:rPr>
          <w:rFonts w:cs="Arial"/>
        </w:rPr>
      </w:pPr>
      <w:r w:rsidRPr="00592915">
        <w:rPr>
          <w:rFonts w:cs="Arial"/>
          <w:b/>
          <w:bCs/>
        </w:rPr>
        <w:t xml:space="preserve">Capital contributions from partner </w:t>
      </w:r>
      <w:proofErr w:type="gramStart"/>
      <w:r w:rsidRPr="00592915">
        <w:rPr>
          <w:rFonts w:cs="Arial"/>
          <w:b/>
          <w:bCs/>
        </w:rPr>
        <w:t>organisation</w:t>
      </w:r>
      <w:proofErr w:type="gramEnd"/>
      <w:r w:rsidRPr="00592915">
        <w:rPr>
          <w:rFonts w:cs="Arial"/>
          <w:b/>
          <w:bCs/>
        </w:rPr>
        <w:t xml:space="preserve"> </w:t>
      </w:r>
    </w:p>
    <w:p w14:paraId="580386F9" w14:textId="77777777" w:rsidR="00C840C9" w:rsidRPr="00592915" w:rsidRDefault="00C840C9" w:rsidP="00C840C9">
      <w:pPr>
        <w:jc w:val="both"/>
        <w:rPr>
          <w:rFonts w:cs="Arial"/>
        </w:rPr>
      </w:pPr>
    </w:p>
    <w:p w14:paraId="1A5DEBA1" w14:textId="77777777" w:rsidR="00C840C9" w:rsidRPr="00592915" w:rsidRDefault="00C840C9" w:rsidP="00C840C9">
      <w:pPr>
        <w:jc w:val="both"/>
        <w:rPr>
          <w:rFonts w:cs="Arial"/>
        </w:rPr>
      </w:pPr>
      <w:r w:rsidRPr="00592915">
        <w:rPr>
          <w:rFonts w:cs="Arial"/>
        </w:rPr>
        <w:t xml:space="preserve">When capital projects are </w:t>
      </w:r>
      <w:proofErr w:type="gramStart"/>
      <w:r w:rsidRPr="00592915">
        <w:rPr>
          <w:rFonts w:cs="Arial"/>
        </w:rPr>
        <w:t>devised</w:t>
      </w:r>
      <w:proofErr w:type="gramEnd"/>
      <w:r w:rsidRPr="00592915">
        <w:rPr>
          <w:rFonts w:cs="Arial"/>
        </w:rPr>
        <w:t xml:space="preserve"> it is open for project managers to invite funding from a range of partner organisations. </w:t>
      </w:r>
    </w:p>
    <w:p w14:paraId="20254BEB" w14:textId="77777777" w:rsidR="00C840C9" w:rsidRPr="00592915" w:rsidRDefault="00C840C9" w:rsidP="00C840C9">
      <w:pPr>
        <w:jc w:val="both"/>
        <w:rPr>
          <w:rFonts w:cs="Arial"/>
          <w:b/>
          <w:bCs/>
        </w:rPr>
      </w:pPr>
    </w:p>
    <w:p w14:paraId="07DB3781" w14:textId="77777777" w:rsidR="00C840C9" w:rsidRDefault="00C840C9" w:rsidP="00C840C9">
      <w:pPr>
        <w:jc w:val="both"/>
        <w:rPr>
          <w:rFonts w:cs="Arial"/>
          <w:b/>
          <w:bCs/>
        </w:rPr>
      </w:pPr>
    </w:p>
    <w:p w14:paraId="51DE3456" w14:textId="146F2B42" w:rsidR="00C840C9" w:rsidRDefault="00C840C9" w:rsidP="00C840C9">
      <w:pPr>
        <w:jc w:val="both"/>
        <w:rPr>
          <w:rFonts w:cs="Arial"/>
          <w:b/>
          <w:bCs/>
        </w:rPr>
      </w:pPr>
      <w:r w:rsidRPr="00592915">
        <w:rPr>
          <w:rFonts w:cs="Arial"/>
          <w:b/>
          <w:bCs/>
        </w:rPr>
        <w:lastRenderedPageBreak/>
        <w:t xml:space="preserve">Revenue contributions </w:t>
      </w:r>
    </w:p>
    <w:p w14:paraId="548AA966" w14:textId="4EA57D48" w:rsidR="00C840C9" w:rsidRDefault="00C840C9" w:rsidP="00C840C9">
      <w:pPr>
        <w:jc w:val="both"/>
        <w:rPr>
          <w:rFonts w:cs="Arial"/>
        </w:rPr>
      </w:pPr>
      <w:r w:rsidRPr="00592915">
        <w:rPr>
          <w:rFonts w:cs="Arial"/>
        </w:rPr>
        <w:t xml:space="preserve">Services who are leading a capital project may make savings within their revenue budgets during a particular year and in some circumstances use that saving to part-fund a capital project. </w:t>
      </w:r>
    </w:p>
    <w:p w14:paraId="669185F2" w14:textId="77777777" w:rsidR="00C840C9" w:rsidRPr="00592915" w:rsidRDefault="00C840C9" w:rsidP="00C840C9">
      <w:pPr>
        <w:jc w:val="both"/>
        <w:rPr>
          <w:rFonts w:cs="Arial"/>
          <w:b/>
          <w:bCs/>
        </w:rPr>
      </w:pPr>
    </w:p>
    <w:p w14:paraId="77CC7139" w14:textId="77777777" w:rsidR="00C840C9" w:rsidRPr="00592915" w:rsidRDefault="00C840C9" w:rsidP="00C840C9">
      <w:pPr>
        <w:jc w:val="both"/>
        <w:rPr>
          <w:rFonts w:cs="Arial"/>
        </w:rPr>
      </w:pPr>
      <w:r w:rsidRPr="00592915">
        <w:rPr>
          <w:rFonts w:cs="Arial"/>
          <w:b/>
          <w:bCs/>
        </w:rPr>
        <w:t xml:space="preserve">21. Policy on use of Capital Funding </w:t>
      </w:r>
    </w:p>
    <w:p w14:paraId="79208F84" w14:textId="77777777" w:rsidR="00C840C9" w:rsidRPr="00592915" w:rsidRDefault="00C840C9" w:rsidP="00C840C9">
      <w:pPr>
        <w:jc w:val="both"/>
        <w:rPr>
          <w:rFonts w:cs="Arial"/>
        </w:rPr>
      </w:pPr>
    </w:p>
    <w:p w14:paraId="712EA5E0" w14:textId="77777777" w:rsidR="00C840C9" w:rsidRPr="00592915" w:rsidRDefault="00C840C9" w:rsidP="00C840C9">
      <w:pPr>
        <w:jc w:val="both"/>
        <w:rPr>
          <w:rFonts w:cs="Arial"/>
        </w:rPr>
      </w:pPr>
      <w:r w:rsidRPr="00592915">
        <w:rPr>
          <w:rFonts w:cs="Arial"/>
        </w:rPr>
        <w:t xml:space="preserve">The Council will look to use external funding sources where possible to meet the funding requirements of its capital programme. </w:t>
      </w:r>
    </w:p>
    <w:p w14:paraId="259E6402" w14:textId="77777777" w:rsidR="00C840C9" w:rsidRPr="00592915" w:rsidRDefault="00C840C9" w:rsidP="00C840C9">
      <w:pPr>
        <w:jc w:val="both"/>
        <w:rPr>
          <w:rFonts w:cs="Arial"/>
        </w:rPr>
      </w:pPr>
    </w:p>
    <w:p w14:paraId="486F6E47" w14:textId="77777777" w:rsidR="00C840C9" w:rsidRPr="00592915" w:rsidRDefault="00C840C9" w:rsidP="00C840C9">
      <w:pPr>
        <w:jc w:val="both"/>
        <w:rPr>
          <w:rFonts w:cs="Arial"/>
        </w:rPr>
      </w:pPr>
      <w:r w:rsidRPr="00592915">
        <w:rPr>
          <w:rFonts w:cs="Arial"/>
        </w:rPr>
        <w:t xml:space="preserve">Where the use of Council resources </w:t>
      </w:r>
      <w:r>
        <w:rPr>
          <w:rFonts w:cs="Arial"/>
        </w:rPr>
        <w:t>is</w:t>
      </w:r>
      <w:r w:rsidRPr="00592915">
        <w:rPr>
          <w:rFonts w:cs="Arial"/>
        </w:rPr>
        <w:t xml:space="preserve"> </w:t>
      </w:r>
      <w:proofErr w:type="gramStart"/>
      <w:r w:rsidRPr="00592915">
        <w:rPr>
          <w:rFonts w:cs="Arial"/>
        </w:rPr>
        <w:t>required</w:t>
      </w:r>
      <w:proofErr w:type="gramEnd"/>
      <w:r w:rsidRPr="00592915">
        <w:rPr>
          <w:rFonts w:cs="Arial"/>
        </w:rPr>
        <w:t xml:space="preserve"> the authority will look to utilise reserves, revenue funding or capital receipts as these create no long term revenue cost implications on the Council. </w:t>
      </w:r>
    </w:p>
    <w:p w14:paraId="75E6738E" w14:textId="77777777" w:rsidR="00C840C9" w:rsidRPr="00592915" w:rsidRDefault="00C840C9" w:rsidP="00C840C9">
      <w:pPr>
        <w:jc w:val="both"/>
        <w:rPr>
          <w:rFonts w:cs="Arial"/>
        </w:rPr>
      </w:pPr>
    </w:p>
    <w:p w14:paraId="24EBFFA8" w14:textId="77777777" w:rsidR="00C840C9" w:rsidRPr="00592915" w:rsidRDefault="00C840C9" w:rsidP="00C840C9">
      <w:pPr>
        <w:jc w:val="both"/>
        <w:rPr>
          <w:rFonts w:cs="Arial"/>
        </w:rPr>
      </w:pPr>
      <w:r w:rsidRPr="00592915">
        <w:rPr>
          <w:rFonts w:cs="Arial"/>
        </w:rPr>
        <w:t xml:space="preserve">Borrowing will be used as the last possible source of funding and should be restricted only to those schemes which generate sufficient savings or income to meet the costs of interest and the Minimum Revenue Provision. </w:t>
      </w:r>
    </w:p>
    <w:p w14:paraId="0CBB8742" w14:textId="77777777" w:rsidR="00C840C9" w:rsidRPr="00592915" w:rsidRDefault="00C840C9" w:rsidP="00C840C9">
      <w:pPr>
        <w:jc w:val="both"/>
        <w:rPr>
          <w:rFonts w:cs="Arial"/>
        </w:rPr>
      </w:pPr>
    </w:p>
    <w:p w14:paraId="11409D6F" w14:textId="77777777" w:rsidR="00C840C9" w:rsidRPr="00592915" w:rsidRDefault="00C840C9" w:rsidP="00C840C9">
      <w:pPr>
        <w:jc w:val="both"/>
        <w:rPr>
          <w:rFonts w:cs="Arial"/>
        </w:rPr>
      </w:pPr>
      <w:r w:rsidRPr="00592915">
        <w:rPr>
          <w:rFonts w:cs="Arial"/>
        </w:rPr>
        <w:t xml:space="preserve">Any borrowing incurred to support the provision of new build housing within the Housing Revenue Account must be demonstrated to be affordable over a period of 30 years. </w:t>
      </w:r>
    </w:p>
    <w:p w14:paraId="76E47679" w14:textId="77777777" w:rsidR="00C840C9" w:rsidRPr="00592915" w:rsidRDefault="00C840C9" w:rsidP="00C840C9">
      <w:pPr>
        <w:jc w:val="both"/>
        <w:rPr>
          <w:rFonts w:cs="Arial"/>
          <w:b/>
          <w:bCs/>
        </w:rPr>
      </w:pPr>
    </w:p>
    <w:p w14:paraId="35A20747" w14:textId="77777777" w:rsidR="00C840C9" w:rsidRPr="00592915" w:rsidRDefault="00C840C9" w:rsidP="00C840C9">
      <w:pPr>
        <w:jc w:val="both"/>
        <w:rPr>
          <w:rFonts w:cs="Arial"/>
        </w:rPr>
      </w:pPr>
      <w:r w:rsidRPr="00592915">
        <w:rPr>
          <w:rFonts w:cs="Arial"/>
          <w:b/>
          <w:bCs/>
        </w:rPr>
        <w:t xml:space="preserve">22.Relationship between Capital Strategy and Treasury Management </w:t>
      </w:r>
    </w:p>
    <w:p w14:paraId="23FE0A6F" w14:textId="77777777" w:rsidR="00C840C9" w:rsidRPr="00592915" w:rsidRDefault="00C840C9" w:rsidP="00C840C9">
      <w:pPr>
        <w:jc w:val="both"/>
        <w:rPr>
          <w:rFonts w:cs="Arial"/>
        </w:rPr>
      </w:pPr>
    </w:p>
    <w:p w14:paraId="63E2FD6B" w14:textId="77777777" w:rsidR="00C840C9" w:rsidRPr="00592915" w:rsidRDefault="00C840C9" w:rsidP="00C840C9">
      <w:pPr>
        <w:jc w:val="both"/>
        <w:rPr>
          <w:rFonts w:cs="Arial"/>
        </w:rPr>
      </w:pPr>
      <w:r w:rsidRPr="00592915">
        <w:rPr>
          <w:rFonts w:cs="Arial"/>
        </w:rPr>
        <w:t xml:space="preserve">Treasury management refers to the processes of managing and reporting on the Council’s performance in matters of investment and borrowing. </w:t>
      </w:r>
    </w:p>
    <w:p w14:paraId="1620DB73" w14:textId="77777777" w:rsidR="00C840C9" w:rsidRPr="00592915" w:rsidRDefault="00C840C9" w:rsidP="00C840C9">
      <w:pPr>
        <w:jc w:val="both"/>
        <w:rPr>
          <w:rFonts w:cs="Arial"/>
        </w:rPr>
      </w:pPr>
    </w:p>
    <w:p w14:paraId="058F7BA2" w14:textId="77777777" w:rsidR="00C840C9" w:rsidRPr="00592915" w:rsidRDefault="00C840C9" w:rsidP="00C840C9">
      <w:pPr>
        <w:jc w:val="both"/>
        <w:rPr>
          <w:rFonts w:cs="Arial"/>
        </w:rPr>
      </w:pPr>
      <w:r w:rsidRPr="00592915">
        <w:rPr>
          <w:rFonts w:cs="Arial"/>
        </w:rPr>
        <w:t xml:space="preserve">The Council’s policy on Treasury Management has numerous links to the Capital Strategy. It is not intended that this Strategy replace the reporting requirements of the Treasury Management Strategy and includes a summary of the major points of that strategy and associated governance processes. </w:t>
      </w:r>
    </w:p>
    <w:p w14:paraId="6C86B9CF" w14:textId="77777777" w:rsidR="00C840C9" w:rsidRPr="00592915" w:rsidRDefault="00C840C9" w:rsidP="00C840C9">
      <w:pPr>
        <w:jc w:val="both"/>
        <w:rPr>
          <w:rFonts w:cs="Arial"/>
        </w:rPr>
      </w:pPr>
    </w:p>
    <w:p w14:paraId="079330BD" w14:textId="77777777" w:rsidR="00C840C9" w:rsidRPr="00592915" w:rsidRDefault="00C840C9" w:rsidP="00C840C9">
      <w:pPr>
        <w:jc w:val="both"/>
        <w:rPr>
          <w:rFonts w:cs="Arial"/>
        </w:rPr>
      </w:pPr>
      <w:r w:rsidRPr="00592915">
        <w:rPr>
          <w:rFonts w:cs="Arial"/>
        </w:rPr>
        <w:t xml:space="preserve">Key Treasury decisions are the responsibility of full Council and are contained within the Treasury Management Strategy. </w:t>
      </w:r>
    </w:p>
    <w:p w14:paraId="34C183EC" w14:textId="77777777" w:rsidR="00C840C9" w:rsidRPr="00592915" w:rsidRDefault="00C840C9" w:rsidP="00C840C9">
      <w:pPr>
        <w:jc w:val="both"/>
        <w:rPr>
          <w:rFonts w:cs="Arial"/>
        </w:rPr>
      </w:pPr>
    </w:p>
    <w:p w14:paraId="7EEED696" w14:textId="77777777" w:rsidR="00C840C9" w:rsidRPr="00592915" w:rsidRDefault="00C840C9" w:rsidP="00C840C9">
      <w:pPr>
        <w:jc w:val="both"/>
        <w:rPr>
          <w:rFonts w:cs="Arial"/>
        </w:rPr>
      </w:pPr>
      <w:r w:rsidRPr="00592915">
        <w:rPr>
          <w:rFonts w:cs="Arial"/>
        </w:rPr>
        <w:t>These include:</w:t>
      </w:r>
    </w:p>
    <w:p w14:paraId="2BAB413D" w14:textId="77777777" w:rsidR="00C840C9" w:rsidRPr="00592915" w:rsidRDefault="00C840C9" w:rsidP="00C840C9">
      <w:pPr>
        <w:jc w:val="both"/>
        <w:rPr>
          <w:rFonts w:cs="Arial"/>
        </w:rPr>
      </w:pPr>
    </w:p>
    <w:p w14:paraId="63F287AA" w14:textId="77777777" w:rsidR="00C840C9" w:rsidRPr="00592915" w:rsidRDefault="00C840C9" w:rsidP="00C840C9">
      <w:pPr>
        <w:numPr>
          <w:ilvl w:val="0"/>
          <w:numId w:val="41"/>
        </w:numPr>
        <w:spacing w:after="100" w:line="276" w:lineRule="auto"/>
        <w:ind w:left="709" w:hanging="283"/>
        <w:jc w:val="both"/>
        <w:rPr>
          <w:rFonts w:cs="Arial"/>
        </w:rPr>
      </w:pPr>
      <w:r w:rsidRPr="00592915">
        <w:rPr>
          <w:rFonts w:cs="Arial"/>
        </w:rPr>
        <w:t xml:space="preserve">Approved limits on borrowing </w:t>
      </w:r>
    </w:p>
    <w:p w14:paraId="6A4B8209" w14:textId="77777777" w:rsidR="00C840C9" w:rsidRPr="00592915" w:rsidRDefault="00C840C9" w:rsidP="00C840C9">
      <w:pPr>
        <w:numPr>
          <w:ilvl w:val="0"/>
          <w:numId w:val="41"/>
        </w:numPr>
        <w:spacing w:after="100" w:line="276" w:lineRule="auto"/>
        <w:ind w:left="709" w:hanging="283"/>
        <w:jc w:val="both"/>
        <w:rPr>
          <w:rFonts w:cs="Arial"/>
        </w:rPr>
      </w:pPr>
      <w:r w:rsidRPr="00592915">
        <w:rPr>
          <w:rFonts w:cs="Arial"/>
        </w:rPr>
        <w:t xml:space="preserve">Limits for investment types and counterparty limits </w:t>
      </w:r>
    </w:p>
    <w:p w14:paraId="6DC88815" w14:textId="77777777" w:rsidR="00C840C9" w:rsidRPr="00592915" w:rsidRDefault="00C840C9" w:rsidP="00C840C9">
      <w:pPr>
        <w:numPr>
          <w:ilvl w:val="0"/>
          <w:numId w:val="41"/>
        </w:numPr>
        <w:spacing w:after="100" w:line="276" w:lineRule="auto"/>
        <w:ind w:left="709" w:hanging="283"/>
        <w:jc w:val="both"/>
        <w:rPr>
          <w:rFonts w:cs="Arial"/>
        </w:rPr>
      </w:pPr>
      <w:r w:rsidRPr="00592915">
        <w:rPr>
          <w:rFonts w:cs="Arial"/>
        </w:rPr>
        <w:t xml:space="preserve">Planned capital </w:t>
      </w:r>
      <w:proofErr w:type="gramStart"/>
      <w:r w:rsidRPr="00592915">
        <w:rPr>
          <w:rFonts w:cs="Arial"/>
        </w:rPr>
        <w:t>expenditure</w:t>
      </w:r>
      <w:proofErr w:type="gramEnd"/>
      <w:r w:rsidRPr="00592915">
        <w:rPr>
          <w:rFonts w:cs="Arial"/>
        </w:rPr>
        <w:t xml:space="preserve"> </w:t>
      </w:r>
    </w:p>
    <w:p w14:paraId="41196E49" w14:textId="77777777" w:rsidR="00C840C9" w:rsidRPr="00592915" w:rsidRDefault="00C840C9" w:rsidP="00C840C9">
      <w:pPr>
        <w:numPr>
          <w:ilvl w:val="0"/>
          <w:numId w:val="41"/>
        </w:numPr>
        <w:spacing w:after="100" w:line="276" w:lineRule="auto"/>
        <w:ind w:left="709" w:hanging="283"/>
        <w:jc w:val="both"/>
        <w:rPr>
          <w:rFonts w:cs="Arial"/>
        </w:rPr>
      </w:pPr>
      <w:r w:rsidRPr="00592915">
        <w:rPr>
          <w:rFonts w:cs="Arial"/>
        </w:rPr>
        <w:t xml:space="preserve">Estimates for the future Capital Financing Requirement </w:t>
      </w:r>
    </w:p>
    <w:p w14:paraId="07A8CCA7" w14:textId="77777777" w:rsidR="00C840C9" w:rsidRPr="00592915" w:rsidRDefault="00C840C9" w:rsidP="00C840C9">
      <w:pPr>
        <w:numPr>
          <w:ilvl w:val="0"/>
          <w:numId w:val="41"/>
        </w:numPr>
        <w:spacing w:after="100" w:line="276" w:lineRule="auto"/>
        <w:ind w:left="709" w:hanging="283"/>
        <w:jc w:val="both"/>
        <w:rPr>
          <w:rFonts w:cs="Arial"/>
        </w:rPr>
      </w:pPr>
      <w:r w:rsidRPr="00592915">
        <w:rPr>
          <w:rFonts w:cs="Arial"/>
        </w:rPr>
        <w:t xml:space="preserve">Policy on the Minimum Revenue Provision </w:t>
      </w:r>
    </w:p>
    <w:p w14:paraId="71BFC5E2" w14:textId="77777777" w:rsidR="00C840C9" w:rsidRPr="00592915" w:rsidRDefault="00C840C9" w:rsidP="00C840C9">
      <w:pPr>
        <w:jc w:val="both"/>
        <w:rPr>
          <w:rFonts w:cs="Arial"/>
        </w:rPr>
      </w:pPr>
      <w:r w:rsidRPr="00592915">
        <w:rPr>
          <w:rFonts w:cs="Arial"/>
        </w:rPr>
        <w:t xml:space="preserve">Detailed discussion on these matters is delegated to the GARMS Committee who then makes recommendations to Cabinet. The key impact of a capital programme using borrowing is the creation of a “Capital Financing Requirement” (CFR). The CFR represents the need to borrow external funds </w:t>
      </w:r>
      <w:proofErr w:type="gramStart"/>
      <w:r w:rsidRPr="00592915">
        <w:rPr>
          <w:rFonts w:cs="Arial"/>
        </w:rPr>
        <w:t>as a result of</w:t>
      </w:r>
      <w:proofErr w:type="gramEnd"/>
      <w:r w:rsidRPr="00592915">
        <w:rPr>
          <w:rFonts w:cs="Arial"/>
        </w:rPr>
        <w:t xml:space="preserve"> expenditure funded through borrowing. Having a CFR creates the need for a Minimum Revenue Provision (MRP), a sum to be put to one side each year from the General Fund for repayment of debt. </w:t>
      </w:r>
    </w:p>
    <w:p w14:paraId="6517572D" w14:textId="77777777" w:rsidR="00C840C9" w:rsidRPr="00592915" w:rsidRDefault="00C840C9" w:rsidP="00C840C9">
      <w:pPr>
        <w:jc w:val="both"/>
        <w:rPr>
          <w:rFonts w:cs="Arial"/>
        </w:rPr>
      </w:pPr>
    </w:p>
    <w:p w14:paraId="4B783EBA" w14:textId="77777777" w:rsidR="00C840C9" w:rsidRPr="00592915" w:rsidRDefault="00C840C9" w:rsidP="00C840C9">
      <w:pPr>
        <w:jc w:val="both"/>
        <w:rPr>
          <w:rFonts w:cs="Arial"/>
        </w:rPr>
      </w:pPr>
      <w:r w:rsidRPr="00592915">
        <w:rPr>
          <w:rFonts w:cs="Arial"/>
        </w:rPr>
        <w:t xml:space="preserve">The Council’s MRP policy is to make provision for the repayment of debt equally over the life of the asset that the borrowing relates to.  The GARMS Committee receive at a minimum a mid-year monitoring report for Treasury management and an end of year outturn report. Where circumstances require, such as a material fall in the value of investments, a report would be prepared and presented to the next meeting of the Committee by the S151 Officer. </w:t>
      </w:r>
    </w:p>
    <w:p w14:paraId="4C2AE0B9" w14:textId="77777777" w:rsidR="00C840C9" w:rsidRPr="00592915" w:rsidRDefault="00C840C9" w:rsidP="00C840C9">
      <w:pPr>
        <w:jc w:val="both"/>
        <w:rPr>
          <w:rFonts w:cs="Arial"/>
          <w:b/>
          <w:bCs/>
        </w:rPr>
      </w:pPr>
    </w:p>
    <w:p w14:paraId="23FBFAC4" w14:textId="77777777" w:rsidR="00C840C9" w:rsidRPr="00592915" w:rsidRDefault="00C840C9" w:rsidP="00C840C9">
      <w:pPr>
        <w:jc w:val="both"/>
        <w:rPr>
          <w:rFonts w:cs="Arial"/>
        </w:rPr>
      </w:pPr>
      <w:r w:rsidRPr="00592915">
        <w:rPr>
          <w:rFonts w:cs="Arial"/>
          <w:b/>
          <w:bCs/>
        </w:rPr>
        <w:t>Section 4</w:t>
      </w:r>
      <w:r>
        <w:rPr>
          <w:rFonts w:cs="Arial"/>
          <w:b/>
          <w:bCs/>
        </w:rPr>
        <w:t xml:space="preserve"> </w:t>
      </w:r>
      <w:r w:rsidRPr="00592915">
        <w:rPr>
          <w:rFonts w:cs="Arial"/>
          <w:b/>
          <w:bCs/>
        </w:rPr>
        <w:t xml:space="preserve">- </w:t>
      </w:r>
      <w:r w:rsidRPr="00592915">
        <w:rPr>
          <w:rFonts w:cs="Arial"/>
          <w:b/>
          <w:bCs/>
          <w:caps/>
        </w:rPr>
        <w:t>Risk Management</w:t>
      </w:r>
      <w:r w:rsidRPr="00592915">
        <w:rPr>
          <w:rFonts w:cs="Arial"/>
          <w:b/>
          <w:bCs/>
        </w:rPr>
        <w:t xml:space="preserve"> </w:t>
      </w:r>
    </w:p>
    <w:p w14:paraId="14CFF7B7" w14:textId="77777777" w:rsidR="00C840C9" w:rsidRPr="00592915" w:rsidRDefault="00C840C9" w:rsidP="00C840C9">
      <w:pPr>
        <w:jc w:val="both"/>
        <w:rPr>
          <w:rFonts w:cs="Arial"/>
          <w:b/>
          <w:bCs/>
        </w:rPr>
      </w:pPr>
    </w:p>
    <w:p w14:paraId="095ED80A" w14:textId="77777777" w:rsidR="00C840C9" w:rsidRPr="00592915" w:rsidRDefault="00C840C9" w:rsidP="00C840C9">
      <w:pPr>
        <w:pStyle w:val="ListParagraph"/>
        <w:ind w:hanging="720"/>
        <w:jc w:val="both"/>
        <w:rPr>
          <w:rFonts w:cs="Arial"/>
        </w:rPr>
      </w:pPr>
      <w:r w:rsidRPr="00592915">
        <w:rPr>
          <w:rFonts w:cs="Arial"/>
          <w:b/>
          <w:bCs/>
        </w:rPr>
        <w:t xml:space="preserve">23. Embedding Risk Management in the Capital Programme </w:t>
      </w:r>
    </w:p>
    <w:p w14:paraId="16929FB9" w14:textId="77777777" w:rsidR="00C840C9" w:rsidRPr="00592915" w:rsidRDefault="00C840C9" w:rsidP="00C840C9">
      <w:pPr>
        <w:jc w:val="both"/>
        <w:rPr>
          <w:rFonts w:cs="Arial"/>
        </w:rPr>
      </w:pPr>
    </w:p>
    <w:p w14:paraId="12063681" w14:textId="77777777" w:rsidR="00C840C9" w:rsidRPr="00592915" w:rsidRDefault="00C840C9" w:rsidP="00C840C9">
      <w:pPr>
        <w:jc w:val="both"/>
        <w:rPr>
          <w:rFonts w:cs="Arial"/>
        </w:rPr>
      </w:pPr>
      <w:r w:rsidRPr="00592915">
        <w:rPr>
          <w:rFonts w:cs="Arial"/>
        </w:rPr>
        <w:t xml:space="preserve">The Capital Strategy must be considered alongside the principles of risk management. Risks are inevitable within a capital programme, as with all aspects of Council operations, and effective management of risk is a vital part of the capital strategy. </w:t>
      </w:r>
    </w:p>
    <w:p w14:paraId="1365B27B" w14:textId="77777777" w:rsidR="00C840C9" w:rsidRPr="00592915" w:rsidRDefault="00C840C9" w:rsidP="00C840C9">
      <w:pPr>
        <w:jc w:val="both"/>
        <w:rPr>
          <w:rFonts w:cs="Arial"/>
        </w:rPr>
      </w:pPr>
    </w:p>
    <w:p w14:paraId="3F7CD454" w14:textId="77777777" w:rsidR="00C840C9" w:rsidRPr="00592915" w:rsidRDefault="00C840C9" w:rsidP="00C840C9">
      <w:pPr>
        <w:jc w:val="both"/>
        <w:rPr>
          <w:rFonts w:cs="Arial"/>
        </w:rPr>
      </w:pPr>
      <w:r w:rsidRPr="00592915">
        <w:rPr>
          <w:rFonts w:cs="Arial"/>
        </w:rPr>
        <w:t>The types of risk the authority is exposed to in the Capital Programme are summarised below:</w:t>
      </w:r>
    </w:p>
    <w:p w14:paraId="32EA6479" w14:textId="77777777" w:rsidR="00C840C9" w:rsidRPr="00592915" w:rsidRDefault="00C840C9" w:rsidP="00C840C9">
      <w:pPr>
        <w:jc w:val="both"/>
        <w:rPr>
          <w:rFonts w:cs="Arial"/>
        </w:rPr>
      </w:pPr>
    </w:p>
    <w:p w14:paraId="651D3425" w14:textId="77777777" w:rsidR="00C840C9" w:rsidRPr="00592915" w:rsidRDefault="00C840C9" w:rsidP="00C840C9">
      <w:pPr>
        <w:ind w:left="284"/>
        <w:jc w:val="both"/>
        <w:rPr>
          <w:rFonts w:cs="Arial"/>
        </w:rPr>
      </w:pPr>
      <w:r w:rsidRPr="00592915">
        <w:rPr>
          <w:rFonts w:cs="Arial"/>
        </w:rPr>
        <w:sym w:font="Arial" w:char="F0B7"/>
      </w:r>
      <w:r w:rsidRPr="00592915">
        <w:rPr>
          <w:rFonts w:cs="Arial"/>
        </w:rPr>
        <w:t xml:space="preserve"> Financial Risk – The risk of significant cost overruns or commercial investments not performing as expected. The authority has a low appetite for this risk as it would impact upon available resources. Mitigation will be in the form of </w:t>
      </w:r>
      <w:proofErr w:type="gramStart"/>
      <w:r w:rsidRPr="00592915">
        <w:rPr>
          <w:rFonts w:cs="Arial"/>
        </w:rPr>
        <w:t>close scrutiny</w:t>
      </w:r>
      <w:proofErr w:type="gramEnd"/>
      <w:r w:rsidRPr="00592915">
        <w:rPr>
          <w:rFonts w:cs="Arial"/>
        </w:rPr>
        <w:t xml:space="preserve"> of capital spending through the budget monitoring process. </w:t>
      </w:r>
    </w:p>
    <w:p w14:paraId="2C666681" w14:textId="77777777" w:rsidR="00C840C9" w:rsidRPr="00592915" w:rsidRDefault="00C840C9" w:rsidP="00C840C9">
      <w:pPr>
        <w:ind w:left="284"/>
        <w:jc w:val="both"/>
        <w:rPr>
          <w:rFonts w:cs="Arial"/>
        </w:rPr>
      </w:pPr>
    </w:p>
    <w:p w14:paraId="6F772E63" w14:textId="77777777" w:rsidR="00C840C9" w:rsidRPr="00592915" w:rsidRDefault="00C840C9" w:rsidP="00C840C9">
      <w:pPr>
        <w:ind w:left="284"/>
        <w:jc w:val="both"/>
        <w:rPr>
          <w:rFonts w:cs="Arial"/>
        </w:rPr>
      </w:pPr>
      <w:r w:rsidRPr="00592915">
        <w:rPr>
          <w:rFonts w:cs="Arial"/>
        </w:rPr>
        <w:sym w:font="Arial" w:char="F0B7"/>
      </w:r>
      <w:r w:rsidRPr="00592915">
        <w:rPr>
          <w:rFonts w:cs="Arial"/>
        </w:rPr>
        <w:t xml:space="preserve"> Strategic Risk – The risk of not delivering key Council priorities or projects. Mitigation will be in the form of careful selection and planning of capital projects before commencement and project managers reviewing project progress and taking corrective action where necessary. Major changes in the outcomes of schemes will be reported to the appropriate Committee. </w:t>
      </w:r>
    </w:p>
    <w:p w14:paraId="4A3B8FC3" w14:textId="77777777" w:rsidR="00C840C9" w:rsidRPr="00592915" w:rsidRDefault="00C840C9" w:rsidP="00C840C9">
      <w:pPr>
        <w:ind w:left="284"/>
        <w:jc w:val="both"/>
        <w:rPr>
          <w:rFonts w:cs="Arial"/>
        </w:rPr>
      </w:pPr>
    </w:p>
    <w:p w14:paraId="6A071928" w14:textId="77777777" w:rsidR="00C840C9" w:rsidRPr="00592915" w:rsidRDefault="00C840C9" w:rsidP="00C840C9">
      <w:pPr>
        <w:ind w:left="284"/>
        <w:jc w:val="both"/>
        <w:rPr>
          <w:rFonts w:cs="Arial"/>
        </w:rPr>
      </w:pPr>
      <w:r w:rsidRPr="00592915">
        <w:rPr>
          <w:rFonts w:cs="Arial"/>
        </w:rPr>
        <w:sym w:font="Arial" w:char="F0B7"/>
      </w:r>
      <w:r w:rsidRPr="00592915">
        <w:rPr>
          <w:rFonts w:cs="Arial"/>
        </w:rPr>
        <w:t xml:space="preserve"> Governance risk – The risk of capital spending decisions not being appropriately </w:t>
      </w:r>
      <w:proofErr w:type="gramStart"/>
      <w:r w:rsidRPr="00592915">
        <w:rPr>
          <w:rFonts w:cs="Arial"/>
        </w:rPr>
        <w:t>considered</w:t>
      </w:r>
      <w:proofErr w:type="gramEnd"/>
      <w:r w:rsidRPr="00592915">
        <w:rPr>
          <w:rFonts w:cs="Arial"/>
        </w:rPr>
        <w:t xml:space="preserve"> and decisions not being made at the correct level. Mitigation is the governance principles contained within the capital strategy. </w:t>
      </w:r>
    </w:p>
    <w:p w14:paraId="2D5D1442" w14:textId="77777777" w:rsidR="00C840C9" w:rsidRPr="00592915" w:rsidRDefault="00C840C9" w:rsidP="00C840C9">
      <w:pPr>
        <w:ind w:left="284"/>
        <w:jc w:val="both"/>
        <w:rPr>
          <w:rFonts w:cs="Arial"/>
        </w:rPr>
      </w:pPr>
    </w:p>
    <w:p w14:paraId="66DF0410" w14:textId="77777777" w:rsidR="00C840C9" w:rsidRPr="00592915" w:rsidRDefault="00C840C9" w:rsidP="00C840C9">
      <w:pPr>
        <w:ind w:left="284"/>
        <w:jc w:val="both"/>
        <w:rPr>
          <w:rFonts w:cs="Arial"/>
        </w:rPr>
      </w:pPr>
      <w:r w:rsidRPr="00592915">
        <w:rPr>
          <w:rFonts w:cs="Arial"/>
        </w:rPr>
        <w:sym w:font="Arial" w:char="F0B7"/>
      </w:r>
      <w:r w:rsidRPr="00592915">
        <w:rPr>
          <w:rFonts w:cs="Arial"/>
        </w:rPr>
        <w:t xml:space="preserve"> Resourcing risk – The risk that insufficient funds are available to fund the capital programme or that the incorrect type of funds is applied to capital projects. This is mitigated by the financing of capital projects being reviewed by the S151 Officer as part of the budget setting and the outturn. </w:t>
      </w:r>
    </w:p>
    <w:p w14:paraId="14ABBCB9" w14:textId="77777777" w:rsidR="00C840C9" w:rsidRPr="00592915" w:rsidRDefault="00C840C9" w:rsidP="00C840C9">
      <w:pPr>
        <w:ind w:left="284"/>
        <w:jc w:val="both"/>
        <w:rPr>
          <w:rFonts w:cs="Arial"/>
        </w:rPr>
      </w:pPr>
    </w:p>
    <w:p w14:paraId="1B73AFB2" w14:textId="77777777" w:rsidR="00C840C9" w:rsidRPr="00592915" w:rsidRDefault="00C840C9" w:rsidP="00C840C9">
      <w:pPr>
        <w:pStyle w:val="ListParagraph"/>
        <w:ind w:hanging="720"/>
        <w:jc w:val="both"/>
        <w:rPr>
          <w:rFonts w:cs="Arial"/>
        </w:rPr>
      </w:pPr>
      <w:r w:rsidRPr="00592915">
        <w:rPr>
          <w:rFonts w:cs="Arial"/>
          <w:b/>
          <w:bCs/>
        </w:rPr>
        <w:t xml:space="preserve">24. Knowledge and Skills within the organisation </w:t>
      </w:r>
    </w:p>
    <w:p w14:paraId="4027F2C4" w14:textId="77777777" w:rsidR="00C840C9" w:rsidRPr="00592915" w:rsidRDefault="00C840C9" w:rsidP="00C840C9">
      <w:pPr>
        <w:ind w:left="567"/>
        <w:jc w:val="both"/>
        <w:rPr>
          <w:rFonts w:cs="Arial"/>
        </w:rPr>
      </w:pPr>
    </w:p>
    <w:p w14:paraId="57991E65" w14:textId="77777777" w:rsidR="00C840C9" w:rsidRPr="00592915" w:rsidRDefault="00C840C9" w:rsidP="00C840C9">
      <w:pPr>
        <w:jc w:val="both"/>
        <w:rPr>
          <w:rFonts w:cs="Arial"/>
        </w:rPr>
      </w:pPr>
      <w:r w:rsidRPr="00592915">
        <w:rPr>
          <w:rFonts w:cs="Arial"/>
        </w:rPr>
        <w:t xml:space="preserve">The Property Services team has officers of multiple disciplines who are experienced at leading capital projects, managing the Council’s property </w:t>
      </w:r>
      <w:proofErr w:type="gramStart"/>
      <w:r w:rsidRPr="00592915">
        <w:rPr>
          <w:rFonts w:cs="Arial"/>
        </w:rPr>
        <w:t>portfolio</w:t>
      </w:r>
      <w:proofErr w:type="gramEnd"/>
      <w:r w:rsidRPr="00592915">
        <w:rPr>
          <w:rFonts w:cs="Arial"/>
        </w:rPr>
        <w:t xml:space="preserve"> and working within the local property market. They have experience of dealing with acquisitions, disposals, new commercial and residential </w:t>
      </w:r>
      <w:proofErr w:type="gramStart"/>
      <w:r w:rsidRPr="00592915">
        <w:rPr>
          <w:rFonts w:cs="Arial"/>
        </w:rPr>
        <w:t>development</w:t>
      </w:r>
      <w:proofErr w:type="gramEnd"/>
      <w:r w:rsidRPr="00592915">
        <w:rPr>
          <w:rFonts w:cs="Arial"/>
        </w:rPr>
        <w:t xml:space="preserve"> and redevelopment of brownfield sites. </w:t>
      </w:r>
    </w:p>
    <w:p w14:paraId="282FF6B0" w14:textId="77777777" w:rsidR="00C840C9" w:rsidRPr="00592915" w:rsidRDefault="00C840C9" w:rsidP="00C840C9">
      <w:pPr>
        <w:jc w:val="both"/>
        <w:rPr>
          <w:rFonts w:cs="Arial"/>
        </w:rPr>
      </w:pPr>
    </w:p>
    <w:p w14:paraId="53178A4A" w14:textId="77777777" w:rsidR="00C840C9" w:rsidRPr="00592915" w:rsidRDefault="00C840C9" w:rsidP="00C840C9">
      <w:pPr>
        <w:jc w:val="both"/>
        <w:rPr>
          <w:rFonts w:cs="Arial"/>
        </w:rPr>
      </w:pPr>
      <w:r w:rsidRPr="00592915">
        <w:rPr>
          <w:rFonts w:cs="Arial"/>
        </w:rPr>
        <w:t>The Finance team are involved in the development and monitoring of the Capital Programme. They have many years of experience in managing local authority capital programmes.</w:t>
      </w:r>
    </w:p>
    <w:p w14:paraId="4921163E" w14:textId="77777777" w:rsidR="00C840C9" w:rsidRPr="00592915" w:rsidRDefault="00C840C9" w:rsidP="00C840C9">
      <w:pPr>
        <w:jc w:val="both"/>
        <w:rPr>
          <w:rFonts w:cs="Arial"/>
        </w:rPr>
      </w:pPr>
    </w:p>
    <w:p w14:paraId="155F2ECE" w14:textId="77777777" w:rsidR="00C840C9" w:rsidRPr="00592915" w:rsidRDefault="00C840C9" w:rsidP="00C840C9">
      <w:pPr>
        <w:jc w:val="both"/>
        <w:rPr>
          <w:rFonts w:cs="Arial"/>
        </w:rPr>
      </w:pPr>
      <w:r w:rsidRPr="00592915">
        <w:rPr>
          <w:rFonts w:cs="Arial"/>
        </w:rPr>
        <w:t xml:space="preserve">Legal Services will be provided by the Council’s in-house legal team who will form a key part of the decision making around Capital projects. All solicitors are required to complete an annual Statement of Competence to the regulatory body to ensure any professional training needs are identified and addressed. </w:t>
      </w:r>
    </w:p>
    <w:p w14:paraId="7F9345FC" w14:textId="77777777" w:rsidR="00C840C9" w:rsidRPr="00592915" w:rsidRDefault="00C840C9" w:rsidP="00C840C9">
      <w:pPr>
        <w:jc w:val="both"/>
        <w:rPr>
          <w:rFonts w:cs="Arial"/>
        </w:rPr>
      </w:pPr>
    </w:p>
    <w:p w14:paraId="4FF0DABE" w14:textId="77777777" w:rsidR="00C840C9" w:rsidRPr="00592915" w:rsidRDefault="00C840C9" w:rsidP="00C840C9">
      <w:pPr>
        <w:jc w:val="both"/>
        <w:rPr>
          <w:rFonts w:cs="Arial"/>
        </w:rPr>
      </w:pPr>
      <w:r w:rsidRPr="00592915">
        <w:rPr>
          <w:rFonts w:cs="Arial"/>
        </w:rPr>
        <w:t xml:space="preserve">Where necessary external advice may be sought for all types of financial, property and legal advice. These costs, or at least appropriate estimates, will be included in the business cases of capital schemes. </w:t>
      </w:r>
    </w:p>
    <w:p w14:paraId="66049126" w14:textId="77777777" w:rsidR="00C840C9" w:rsidRPr="00592915" w:rsidRDefault="00C840C9" w:rsidP="00C840C9">
      <w:pPr>
        <w:jc w:val="both"/>
        <w:rPr>
          <w:rFonts w:cs="Arial"/>
        </w:rPr>
      </w:pPr>
    </w:p>
    <w:p w14:paraId="58414EBF" w14:textId="77777777" w:rsidR="00C840C9" w:rsidRDefault="00C840C9" w:rsidP="00C840C9">
      <w:pPr>
        <w:jc w:val="both"/>
        <w:rPr>
          <w:rFonts w:cs="Arial"/>
        </w:rPr>
      </w:pPr>
      <w:r w:rsidRPr="00592915">
        <w:rPr>
          <w:rFonts w:cs="Arial"/>
        </w:rPr>
        <w:t>Officers will work with members to ensure that training needs for elected members are appropriately identified. As a minimum annual training will be provided around the Treasury Management Strategy.</w:t>
      </w:r>
    </w:p>
    <w:p w14:paraId="5C76DD76" w14:textId="77777777" w:rsidR="00C840C9" w:rsidRDefault="00C840C9" w:rsidP="00C840C9">
      <w:pPr>
        <w:jc w:val="both"/>
        <w:rPr>
          <w:rFonts w:cs="Arial"/>
        </w:rPr>
      </w:pPr>
    </w:p>
    <w:p w14:paraId="571ADD2B" w14:textId="77777777" w:rsidR="00C840C9" w:rsidRDefault="00C840C9" w:rsidP="00C840C9"/>
    <w:p w14:paraId="08B4139F" w14:textId="77777777" w:rsidR="00DF27CE" w:rsidRDefault="00DF27CE" w:rsidP="00DF27CE">
      <w:pPr>
        <w:pageBreakBefore/>
        <w:autoSpaceDE w:val="0"/>
        <w:autoSpaceDN w:val="0"/>
        <w:adjustRightInd w:val="0"/>
        <w:jc w:val="right"/>
        <w:rPr>
          <w:rFonts w:cs="Arial"/>
          <w:color w:val="000000"/>
          <w:sz w:val="32"/>
          <w:szCs w:val="32"/>
          <w:lang w:eastAsia="en-GB"/>
        </w:rPr>
      </w:pPr>
      <w:r>
        <w:rPr>
          <w:rFonts w:cs="Arial"/>
          <w:b/>
          <w:bCs/>
          <w:color w:val="000000"/>
          <w:sz w:val="32"/>
          <w:szCs w:val="32"/>
          <w:lang w:eastAsia="en-GB"/>
        </w:rPr>
        <w:lastRenderedPageBreak/>
        <w:t>APPENDIX H</w:t>
      </w:r>
    </w:p>
    <w:p w14:paraId="7F61714E" w14:textId="77777777" w:rsidR="00DF27CE" w:rsidRDefault="00DF27CE" w:rsidP="00DF27CE">
      <w:pPr>
        <w:autoSpaceDE w:val="0"/>
        <w:autoSpaceDN w:val="0"/>
        <w:adjustRightInd w:val="0"/>
        <w:jc w:val="both"/>
        <w:rPr>
          <w:rFonts w:cs="Arial"/>
          <w:b/>
          <w:color w:val="000000"/>
          <w:szCs w:val="24"/>
          <w:lang w:eastAsia="en-GB"/>
        </w:rPr>
      </w:pPr>
    </w:p>
    <w:p w14:paraId="5844C687" w14:textId="77777777" w:rsidR="00DF27CE" w:rsidRDefault="00DF27CE" w:rsidP="00DF27CE">
      <w:pPr>
        <w:autoSpaceDE w:val="0"/>
        <w:autoSpaceDN w:val="0"/>
        <w:adjustRightInd w:val="0"/>
        <w:jc w:val="both"/>
        <w:rPr>
          <w:rFonts w:cs="Arial"/>
          <w:b/>
          <w:color w:val="000000"/>
          <w:szCs w:val="24"/>
          <w:lang w:eastAsia="en-GB"/>
        </w:rPr>
      </w:pPr>
      <w:r>
        <w:rPr>
          <w:rFonts w:cs="Arial"/>
          <w:b/>
          <w:color w:val="000000"/>
          <w:szCs w:val="24"/>
          <w:lang w:eastAsia="en-GB"/>
        </w:rPr>
        <w:t>Glossary of Terms</w:t>
      </w:r>
    </w:p>
    <w:p w14:paraId="6181195C" w14:textId="77777777" w:rsidR="00DF27CE" w:rsidRDefault="00DF27CE" w:rsidP="00DF27CE">
      <w:pPr>
        <w:autoSpaceDE w:val="0"/>
        <w:autoSpaceDN w:val="0"/>
        <w:adjustRightInd w:val="0"/>
        <w:jc w:val="both"/>
        <w:rPr>
          <w:rFonts w:cs="Arial"/>
          <w:color w:val="000000"/>
          <w:szCs w:val="24"/>
          <w:lang w:eastAsia="en-GB"/>
        </w:rPr>
      </w:pPr>
    </w:p>
    <w:p w14:paraId="30B6C2FA" w14:textId="77777777" w:rsidR="00DF27CE" w:rsidRDefault="00DF27CE" w:rsidP="0064287C">
      <w:pPr>
        <w:pStyle w:val="ListParagraph"/>
        <w:numPr>
          <w:ilvl w:val="0"/>
          <w:numId w:val="10"/>
        </w:numPr>
        <w:autoSpaceDE w:val="0"/>
        <w:autoSpaceDN w:val="0"/>
        <w:adjustRightInd w:val="0"/>
        <w:ind w:left="426"/>
        <w:jc w:val="both"/>
        <w:rPr>
          <w:rFonts w:cs="Arial"/>
          <w:color w:val="000000"/>
          <w:szCs w:val="24"/>
          <w:lang w:eastAsia="en-GB"/>
        </w:rPr>
      </w:pPr>
      <w:r>
        <w:rPr>
          <w:rFonts w:cs="Arial"/>
          <w:b/>
          <w:bCs/>
          <w:color w:val="000000"/>
          <w:szCs w:val="24"/>
          <w:lang w:eastAsia="en-GB"/>
        </w:rPr>
        <w:t xml:space="preserve">Annuity </w:t>
      </w:r>
      <w:r>
        <w:rPr>
          <w:rFonts w:cs="Arial"/>
          <w:color w:val="000000"/>
          <w:szCs w:val="24"/>
          <w:lang w:eastAsia="en-GB"/>
        </w:rPr>
        <w:t xml:space="preserve">– method of repaying a loan where the payment amount remains uniform throughout the life of loan, therefore the split varies such that the proportion of the payment relating to the principal increases as the amount of interest decreases. </w:t>
      </w:r>
    </w:p>
    <w:p w14:paraId="6E62C184" w14:textId="77777777" w:rsidR="00DF27CE" w:rsidRDefault="00DF27CE" w:rsidP="00DF27CE">
      <w:pPr>
        <w:pStyle w:val="ListParagraph"/>
        <w:autoSpaceDE w:val="0"/>
        <w:autoSpaceDN w:val="0"/>
        <w:adjustRightInd w:val="0"/>
        <w:ind w:left="426"/>
        <w:jc w:val="both"/>
        <w:rPr>
          <w:rFonts w:cs="Arial"/>
          <w:color w:val="000000"/>
          <w:szCs w:val="24"/>
          <w:lang w:eastAsia="en-GB"/>
        </w:rPr>
      </w:pPr>
    </w:p>
    <w:p w14:paraId="5DA6D6D8" w14:textId="77777777" w:rsidR="00DF27CE" w:rsidRDefault="00DF27CE" w:rsidP="0064287C">
      <w:pPr>
        <w:pStyle w:val="ListParagraph"/>
        <w:numPr>
          <w:ilvl w:val="0"/>
          <w:numId w:val="10"/>
        </w:numPr>
        <w:autoSpaceDE w:val="0"/>
        <w:autoSpaceDN w:val="0"/>
        <w:adjustRightInd w:val="0"/>
        <w:ind w:left="426"/>
        <w:jc w:val="both"/>
        <w:rPr>
          <w:rFonts w:cs="Arial"/>
          <w:color w:val="000000"/>
          <w:szCs w:val="24"/>
          <w:lang w:eastAsia="en-GB"/>
        </w:rPr>
      </w:pPr>
      <w:r>
        <w:rPr>
          <w:rFonts w:cs="Arial"/>
          <w:b/>
          <w:bCs/>
          <w:color w:val="000000"/>
          <w:szCs w:val="24"/>
          <w:lang w:eastAsia="en-GB"/>
        </w:rPr>
        <w:t xml:space="preserve">Bail-In </w:t>
      </w:r>
      <w:r>
        <w:rPr>
          <w:rFonts w:cs="Arial"/>
          <w:color w:val="000000"/>
          <w:szCs w:val="24"/>
          <w:lang w:eastAsia="en-GB"/>
        </w:rPr>
        <w:t xml:space="preserve">– previously, in response to the banking crisis, some governments used taxpayer funds to support banks in danger of failing. The European Union’s Banking Recovery and Resolution Directive (BRRD) requires that, in future, ‘bail in’ will be applied in such a scenario; this means that after shareholders’ equity, depositors’ funds comprising balances over c£85k will be used to support the bank at risk. The £85k threshold is not available to local authorities and therefore all unsecured deposits with banks and building societies will be at risk of ‘bail in’. </w:t>
      </w:r>
    </w:p>
    <w:p w14:paraId="648CF9E7" w14:textId="77777777" w:rsidR="00DF27CE" w:rsidRDefault="00DF27CE" w:rsidP="00DF27CE">
      <w:pPr>
        <w:autoSpaceDE w:val="0"/>
        <w:autoSpaceDN w:val="0"/>
        <w:adjustRightInd w:val="0"/>
        <w:jc w:val="both"/>
        <w:rPr>
          <w:rFonts w:cs="Arial"/>
          <w:color w:val="000000"/>
          <w:szCs w:val="24"/>
          <w:lang w:eastAsia="en-GB"/>
        </w:rPr>
      </w:pPr>
    </w:p>
    <w:p w14:paraId="0F5C002B" w14:textId="77777777" w:rsidR="00DF27CE" w:rsidRDefault="00DF27CE" w:rsidP="0064287C">
      <w:pPr>
        <w:pStyle w:val="ListParagraph"/>
        <w:numPr>
          <w:ilvl w:val="0"/>
          <w:numId w:val="10"/>
        </w:numPr>
        <w:autoSpaceDE w:val="0"/>
        <w:autoSpaceDN w:val="0"/>
        <w:adjustRightInd w:val="0"/>
        <w:ind w:left="426"/>
        <w:jc w:val="both"/>
        <w:rPr>
          <w:rFonts w:cs="Arial"/>
          <w:color w:val="000000"/>
          <w:szCs w:val="24"/>
          <w:lang w:eastAsia="en-GB"/>
        </w:rPr>
      </w:pPr>
      <w:r>
        <w:rPr>
          <w:rFonts w:cs="Arial"/>
          <w:b/>
          <w:bCs/>
          <w:color w:val="000000"/>
          <w:szCs w:val="24"/>
          <w:lang w:eastAsia="en-GB"/>
        </w:rPr>
        <w:t xml:space="preserve">Base Rate </w:t>
      </w:r>
      <w:r>
        <w:rPr>
          <w:rFonts w:cs="Arial"/>
          <w:color w:val="000000"/>
          <w:szCs w:val="24"/>
          <w:lang w:eastAsia="en-GB"/>
        </w:rPr>
        <w:t xml:space="preserve">– minimum lending rate of a bank or financial institution in the UK </w:t>
      </w:r>
    </w:p>
    <w:p w14:paraId="577F1EA7" w14:textId="77777777" w:rsidR="00DF27CE" w:rsidRDefault="00DF27CE" w:rsidP="00DF27CE">
      <w:pPr>
        <w:pStyle w:val="ListParagraph"/>
        <w:rPr>
          <w:rFonts w:cs="Arial"/>
          <w:color w:val="000000"/>
          <w:szCs w:val="24"/>
          <w:lang w:eastAsia="en-GB"/>
        </w:rPr>
      </w:pPr>
    </w:p>
    <w:p w14:paraId="42C7CCE0" w14:textId="77777777" w:rsidR="00DF27CE" w:rsidRDefault="00DF27CE" w:rsidP="0064287C">
      <w:pPr>
        <w:pStyle w:val="ListParagraph"/>
        <w:numPr>
          <w:ilvl w:val="0"/>
          <w:numId w:val="10"/>
        </w:numPr>
        <w:autoSpaceDE w:val="0"/>
        <w:autoSpaceDN w:val="0"/>
        <w:adjustRightInd w:val="0"/>
        <w:ind w:left="426"/>
        <w:jc w:val="both"/>
        <w:rPr>
          <w:rFonts w:cs="Arial"/>
          <w:color w:val="000000"/>
          <w:szCs w:val="24"/>
          <w:lang w:eastAsia="en-GB"/>
        </w:rPr>
      </w:pPr>
      <w:r>
        <w:rPr>
          <w:rFonts w:cs="Arial"/>
          <w:b/>
          <w:bCs/>
          <w:color w:val="000000"/>
          <w:szCs w:val="24"/>
          <w:lang w:eastAsia="en-GB"/>
        </w:rPr>
        <w:t xml:space="preserve">Bond </w:t>
      </w:r>
      <w:r>
        <w:rPr>
          <w:rFonts w:cs="Arial"/>
          <w:color w:val="000000"/>
          <w:szCs w:val="24"/>
          <w:lang w:eastAsia="en-GB"/>
        </w:rPr>
        <w:t xml:space="preserve">– a government or public company’s document undertaking to repay borrowed money usually with a fixed rate of interest. </w:t>
      </w:r>
    </w:p>
    <w:p w14:paraId="060B8FE9" w14:textId="77777777" w:rsidR="00DF27CE" w:rsidRDefault="00DF27CE" w:rsidP="00DF27CE">
      <w:pPr>
        <w:pStyle w:val="ListParagraph"/>
        <w:rPr>
          <w:rFonts w:cs="Arial"/>
          <w:b/>
          <w:bCs/>
          <w:color w:val="000000"/>
          <w:szCs w:val="24"/>
          <w:lang w:eastAsia="en-GB"/>
        </w:rPr>
      </w:pPr>
    </w:p>
    <w:p w14:paraId="049C8BA8" w14:textId="77777777" w:rsidR="00DF27CE" w:rsidRDefault="00DF27CE" w:rsidP="0064287C">
      <w:pPr>
        <w:pStyle w:val="ListParagraph"/>
        <w:numPr>
          <w:ilvl w:val="0"/>
          <w:numId w:val="10"/>
        </w:numPr>
        <w:autoSpaceDE w:val="0"/>
        <w:autoSpaceDN w:val="0"/>
        <w:adjustRightInd w:val="0"/>
        <w:ind w:left="426"/>
        <w:jc w:val="both"/>
        <w:rPr>
          <w:rFonts w:cs="Arial"/>
          <w:color w:val="000000"/>
          <w:szCs w:val="24"/>
          <w:lang w:eastAsia="en-GB"/>
        </w:rPr>
      </w:pPr>
      <w:r>
        <w:rPr>
          <w:rFonts w:cs="Arial"/>
          <w:b/>
          <w:bCs/>
          <w:color w:val="000000"/>
          <w:szCs w:val="24"/>
          <w:lang w:eastAsia="en-GB"/>
        </w:rPr>
        <w:t xml:space="preserve">Capital Expenditure </w:t>
      </w:r>
      <w:r>
        <w:rPr>
          <w:rFonts w:cs="Arial"/>
          <w:color w:val="000000"/>
          <w:szCs w:val="24"/>
          <w:lang w:eastAsia="en-GB"/>
        </w:rPr>
        <w:t xml:space="preserve">– spend on major items </w:t>
      </w:r>
      <w:proofErr w:type="gramStart"/>
      <w:r>
        <w:rPr>
          <w:rFonts w:cs="Arial"/>
          <w:color w:val="000000"/>
          <w:szCs w:val="24"/>
          <w:lang w:eastAsia="en-GB"/>
        </w:rPr>
        <w:t>e.g.</w:t>
      </w:r>
      <w:proofErr w:type="gramEnd"/>
      <w:r>
        <w:rPr>
          <w:rFonts w:cs="Arial"/>
          <w:color w:val="000000"/>
          <w:szCs w:val="24"/>
          <w:lang w:eastAsia="en-GB"/>
        </w:rPr>
        <w:t xml:space="preserve"> land and buildings, which adds to and not merely maintains the value of existing fixed assets.</w:t>
      </w:r>
    </w:p>
    <w:p w14:paraId="04A64D61" w14:textId="77777777" w:rsidR="00DF27CE" w:rsidRDefault="00DF27CE" w:rsidP="00DF27CE">
      <w:pPr>
        <w:pStyle w:val="ListParagraph"/>
        <w:rPr>
          <w:rFonts w:cs="Arial"/>
          <w:b/>
          <w:bCs/>
          <w:color w:val="000000"/>
          <w:szCs w:val="24"/>
          <w:lang w:eastAsia="en-GB"/>
        </w:rPr>
      </w:pPr>
    </w:p>
    <w:p w14:paraId="7AF32F31" w14:textId="77777777" w:rsidR="00DF27CE" w:rsidRDefault="00DF27CE" w:rsidP="0064287C">
      <w:pPr>
        <w:pStyle w:val="ListParagraph"/>
        <w:numPr>
          <w:ilvl w:val="0"/>
          <w:numId w:val="10"/>
        </w:numPr>
        <w:autoSpaceDE w:val="0"/>
        <w:autoSpaceDN w:val="0"/>
        <w:adjustRightInd w:val="0"/>
        <w:ind w:left="426"/>
        <w:jc w:val="both"/>
        <w:rPr>
          <w:rFonts w:cs="Arial"/>
          <w:color w:val="000000"/>
          <w:szCs w:val="24"/>
          <w:lang w:eastAsia="en-GB"/>
        </w:rPr>
      </w:pPr>
      <w:r>
        <w:rPr>
          <w:rFonts w:cs="Arial"/>
          <w:b/>
          <w:bCs/>
          <w:color w:val="000000"/>
          <w:szCs w:val="24"/>
          <w:lang w:eastAsia="en-GB"/>
        </w:rPr>
        <w:t xml:space="preserve">Capital Grants </w:t>
      </w:r>
      <w:r>
        <w:rPr>
          <w:rFonts w:cs="Arial"/>
          <w:color w:val="000000"/>
          <w:szCs w:val="24"/>
          <w:lang w:eastAsia="en-GB"/>
        </w:rPr>
        <w:t xml:space="preserve">– specific targeted grants to cover capital </w:t>
      </w:r>
      <w:proofErr w:type="gramStart"/>
      <w:r>
        <w:rPr>
          <w:rFonts w:cs="Arial"/>
          <w:color w:val="000000"/>
          <w:szCs w:val="24"/>
          <w:lang w:eastAsia="en-GB"/>
        </w:rPr>
        <w:t>spend</w:t>
      </w:r>
      <w:proofErr w:type="gramEnd"/>
      <w:r>
        <w:rPr>
          <w:rFonts w:cs="Arial"/>
          <w:color w:val="000000"/>
          <w:szCs w:val="24"/>
          <w:lang w:eastAsia="en-GB"/>
        </w:rPr>
        <w:t xml:space="preserve"> </w:t>
      </w:r>
    </w:p>
    <w:p w14:paraId="5E666A67" w14:textId="77777777" w:rsidR="00DF27CE" w:rsidRDefault="00DF27CE" w:rsidP="00DF27CE">
      <w:pPr>
        <w:pStyle w:val="ListParagraph"/>
        <w:rPr>
          <w:rFonts w:cs="Arial"/>
          <w:b/>
          <w:bCs/>
          <w:color w:val="000000"/>
          <w:szCs w:val="24"/>
          <w:lang w:eastAsia="en-GB"/>
        </w:rPr>
      </w:pPr>
    </w:p>
    <w:p w14:paraId="1A0CD826" w14:textId="77777777" w:rsidR="00DF27CE" w:rsidRDefault="00DF27CE" w:rsidP="0064287C">
      <w:pPr>
        <w:pStyle w:val="ListParagraph"/>
        <w:numPr>
          <w:ilvl w:val="0"/>
          <w:numId w:val="10"/>
        </w:numPr>
        <w:autoSpaceDE w:val="0"/>
        <w:autoSpaceDN w:val="0"/>
        <w:adjustRightInd w:val="0"/>
        <w:ind w:left="426"/>
        <w:jc w:val="both"/>
        <w:rPr>
          <w:rFonts w:cs="Arial"/>
          <w:color w:val="000000"/>
          <w:szCs w:val="24"/>
          <w:lang w:eastAsia="en-GB"/>
        </w:rPr>
      </w:pPr>
      <w:r>
        <w:rPr>
          <w:rFonts w:cs="Arial"/>
          <w:b/>
          <w:bCs/>
          <w:color w:val="000000"/>
          <w:szCs w:val="24"/>
          <w:lang w:eastAsia="en-GB"/>
        </w:rPr>
        <w:t xml:space="preserve">Capital Receipts </w:t>
      </w:r>
      <w:r>
        <w:rPr>
          <w:rFonts w:cs="Arial"/>
          <w:color w:val="000000"/>
          <w:szCs w:val="24"/>
          <w:lang w:eastAsia="en-GB"/>
        </w:rPr>
        <w:t xml:space="preserve">– the proceeds from the disposal of land or other assets. Capital receipts can be used to fund capital expenditure but cannot be used to finance revenue. </w:t>
      </w:r>
    </w:p>
    <w:p w14:paraId="79CCDE67" w14:textId="77777777" w:rsidR="00DF27CE" w:rsidRDefault="00DF27CE" w:rsidP="00DF27CE">
      <w:pPr>
        <w:pStyle w:val="ListParagraph"/>
        <w:rPr>
          <w:rFonts w:cs="Arial"/>
          <w:b/>
          <w:bCs/>
          <w:color w:val="000000"/>
          <w:szCs w:val="24"/>
          <w:lang w:eastAsia="en-GB"/>
        </w:rPr>
      </w:pPr>
    </w:p>
    <w:p w14:paraId="437D02E3" w14:textId="77777777" w:rsidR="00DF27CE" w:rsidRDefault="00DF27CE" w:rsidP="0064287C">
      <w:pPr>
        <w:pStyle w:val="ListParagraph"/>
        <w:numPr>
          <w:ilvl w:val="0"/>
          <w:numId w:val="10"/>
        </w:numPr>
        <w:autoSpaceDE w:val="0"/>
        <w:autoSpaceDN w:val="0"/>
        <w:adjustRightInd w:val="0"/>
        <w:ind w:left="426"/>
        <w:jc w:val="both"/>
        <w:rPr>
          <w:rFonts w:cs="Arial"/>
          <w:color w:val="000000"/>
          <w:szCs w:val="24"/>
          <w:lang w:eastAsia="en-GB"/>
        </w:rPr>
      </w:pPr>
      <w:r>
        <w:rPr>
          <w:rFonts w:cs="Arial"/>
          <w:b/>
          <w:bCs/>
          <w:color w:val="000000"/>
          <w:szCs w:val="24"/>
          <w:lang w:eastAsia="en-GB"/>
        </w:rPr>
        <w:t xml:space="preserve">CIPFA </w:t>
      </w:r>
      <w:r>
        <w:rPr>
          <w:rFonts w:cs="Arial"/>
          <w:color w:val="000000"/>
          <w:szCs w:val="24"/>
          <w:lang w:eastAsia="en-GB"/>
        </w:rPr>
        <w:t xml:space="preserve">– the Chartered Institute of Public Finance and Accountancy, is the professional body for accountants working in Local Government and other public sector organisations, also the standard setting organisation for Local Government Finance. </w:t>
      </w:r>
    </w:p>
    <w:p w14:paraId="2DE4A6D7" w14:textId="77777777" w:rsidR="00DF27CE" w:rsidRDefault="00DF27CE" w:rsidP="00DF27CE">
      <w:pPr>
        <w:pStyle w:val="ListParagraph"/>
        <w:rPr>
          <w:rFonts w:cs="Arial"/>
          <w:b/>
          <w:bCs/>
          <w:color w:val="000000"/>
          <w:szCs w:val="24"/>
          <w:lang w:eastAsia="en-GB"/>
        </w:rPr>
      </w:pPr>
    </w:p>
    <w:p w14:paraId="37E160EB" w14:textId="77777777" w:rsidR="00DF27CE" w:rsidRDefault="00DF27CE" w:rsidP="0064287C">
      <w:pPr>
        <w:pStyle w:val="ListParagraph"/>
        <w:numPr>
          <w:ilvl w:val="0"/>
          <w:numId w:val="10"/>
        </w:numPr>
        <w:autoSpaceDE w:val="0"/>
        <w:autoSpaceDN w:val="0"/>
        <w:adjustRightInd w:val="0"/>
        <w:ind w:left="426"/>
        <w:jc w:val="both"/>
        <w:rPr>
          <w:rFonts w:cs="Arial"/>
          <w:color w:val="000000"/>
          <w:szCs w:val="24"/>
          <w:lang w:eastAsia="en-GB"/>
        </w:rPr>
      </w:pPr>
      <w:r>
        <w:rPr>
          <w:rFonts w:cs="Arial"/>
          <w:b/>
          <w:bCs/>
          <w:color w:val="000000"/>
          <w:szCs w:val="24"/>
          <w:lang w:eastAsia="en-GB"/>
        </w:rPr>
        <w:t xml:space="preserve">Counterparty </w:t>
      </w:r>
      <w:r>
        <w:rPr>
          <w:rFonts w:cs="Arial"/>
          <w:color w:val="000000"/>
          <w:szCs w:val="24"/>
          <w:lang w:eastAsia="en-GB"/>
        </w:rPr>
        <w:t>– an institution (</w:t>
      </w:r>
      <w:proofErr w:type="gramStart"/>
      <w:r>
        <w:rPr>
          <w:rFonts w:cs="Arial"/>
          <w:color w:val="000000"/>
          <w:szCs w:val="24"/>
          <w:lang w:eastAsia="en-GB"/>
        </w:rPr>
        <w:t>e.g.</w:t>
      </w:r>
      <w:proofErr w:type="gramEnd"/>
      <w:r>
        <w:rPr>
          <w:rFonts w:cs="Arial"/>
          <w:color w:val="000000"/>
          <w:szCs w:val="24"/>
          <w:lang w:eastAsia="en-GB"/>
        </w:rPr>
        <w:t xml:space="preserve"> a bank) with whom a borrowing or investment transaction is made. </w:t>
      </w:r>
    </w:p>
    <w:p w14:paraId="5C4FF6E7" w14:textId="77777777" w:rsidR="00DF27CE" w:rsidRDefault="00DF27CE" w:rsidP="00DF27CE">
      <w:pPr>
        <w:pStyle w:val="ListParagraph"/>
        <w:rPr>
          <w:rFonts w:cs="Arial"/>
          <w:b/>
          <w:bCs/>
          <w:color w:val="000000"/>
          <w:szCs w:val="24"/>
          <w:lang w:eastAsia="en-GB"/>
        </w:rPr>
      </w:pPr>
    </w:p>
    <w:p w14:paraId="02BFEC77" w14:textId="77777777" w:rsidR="00DF27CE" w:rsidRDefault="00DF27CE" w:rsidP="0064287C">
      <w:pPr>
        <w:pStyle w:val="ListParagraph"/>
        <w:numPr>
          <w:ilvl w:val="0"/>
          <w:numId w:val="10"/>
        </w:numPr>
        <w:autoSpaceDE w:val="0"/>
        <w:autoSpaceDN w:val="0"/>
        <w:adjustRightInd w:val="0"/>
        <w:ind w:left="426"/>
        <w:jc w:val="both"/>
        <w:rPr>
          <w:rFonts w:cs="Arial"/>
          <w:color w:val="000000"/>
          <w:szCs w:val="24"/>
          <w:lang w:eastAsia="en-GB"/>
        </w:rPr>
      </w:pPr>
      <w:r>
        <w:rPr>
          <w:rFonts w:cs="Arial"/>
          <w:b/>
          <w:bCs/>
          <w:color w:val="000000"/>
          <w:szCs w:val="24"/>
          <w:lang w:eastAsia="en-GB"/>
        </w:rPr>
        <w:t xml:space="preserve">Credit Rating </w:t>
      </w:r>
      <w:r>
        <w:rPr>
          <w:rFonts w:cs="Arial"/>
          <w:color w:val="000000"/>
          <w:szCs w:val="24"/>
          <w:lang w:eastAsia="en-GB"/>
        </w:rPr>
        <w:t xml:space="preserve">– an opinion on the </w:t>
      </w:r>
      <w:proofErr w:type="gramStart"/>
      <w:r>
        <w:rPr>
          <w:rFonts w:cs="Arial"/>
          <w:color w:val="000000"/>
          <w:szCs w:val="24"/>
          <w:lang w:eastAsia="en-GB"/>
        </w:rPr>
        <w:t>credit-worthiness</w:t>
      </w:r>
      <w:proofErr w:type="gramEnd"/>
      <w:r>
        <w:rPr>
          <w:rFonts w:cs="Arial"/>
          <w:color w:val="000000"/>
          <w:szCs w:val="24"/>
          <w:lang w:eastAsia="en-GB"/>
        </w:rPr>
        <w:t xml:space="preserve"> of an institution, based on judgements about the future status of that institution. It is based on any information available regarding the institution: published results, Shareholders’ reports, reports from trading partners, and also an analysis of the environment in which the institution operates (</w:t>
      </w:r>
      <w:proofErr w:type="gramStart"/>
      <w:r>
        <w:rPr>
          <w:rFonts w:cs="Arial"/>
          <w:color w:val="000000"/>
          <w:szCs w:val="24"/>
          <w:lang w:eastAsia="en-GB"/>
        </w:rPr>
        <w:t>e.g.</w:t>
      </w:r>
      <w:proofErr w:type="gramEnd"/>
      <w:r>
        <w:rPr>
          <w:rFonts w:cs="Arial"/>
          <w:color w:val="000000"/>
          <w:szCs w:val="24"/>
          <w:lang w:eastAsia="en-GB"/>
        </w:rPr>
        <w:t xml:space="preserve"> its home economy, and its market sector). The main rating agencies are Fitch, Standard and Poor’s and Moody’s. They analyse credit worthiness under four headings: </w:t>
      </w:r>
    </w:p>
    <w:p w14:paraId="17DF3DF7" w14:textId="77777777" w:rsidR="00DF27CE" w:rsidRDefault="00DF27CE" w:rsidP="00DF27CE">
      <w:pPr>
        <w:autoSpaceDE w:val="0"/>
        <w:autoSpaceDN w:val="0"/>
        <w:adjustRightInd w:val="0"/>
        <w:jc w:val="both"/>
        <w:rPr>
          <w:rFonts w:cs="Arial"/>
          <w:color w:val="000000"/>
          <w:szCs w:val="24"/>
          <w:lang w:eastAsia="en-GB"/>
        </w:rPr>
      </w:pPr>
    </w:p>
    <w:p w14:paraId="6A58F111" w14:textId="77777777" w:rsidR="00DF27CE" w:rsidRDefault="00DF27CE" w:rsidP="0064287C">
      <w:pPr>
        <w:pStyle w:val="ListParagraph"/>
        <w:numPr>
          <w:ilvl w:val="0"/>
          <w:numId w:val="10"/>
        </w:numPr>
        <w:autoSpaceDE w:val="0"/>
        <w:autoSpaceDN w:val="0"/>
        <w:adjustRightInd w:val="0"/>
        <w:ind w:left="426"/>
        <w:jc w:val="both"/>
        <w:rPr>
          <w:rFonts w:cs="Arial"/>
          <w:color w:val="000000"/>
          <w:szCs w:val="24"/>
          <w:lang w:eastAsia="en-GB"/>
        </w:rPr>
      </w:pPr>
      <w:r>
        <w:rPr>
          <w:rFonts w:cs="Arial"/>
          <w:b/>
          <w:bCs/>
          <w:color w:val="000000"/>
          <w:szCs w:val="24"/>
          <w:lang w:eastAsia="en-GB"/>
        </w:rPr>
        <w:t xml:space="preserve">Short Term Rating </w:t>
      </w:r>
      <w:r>
        <w:rPr>
          <w:rFonts w:cs="Arial"/>
          <w:color w:val="000000"/>
          <w:szCs w:val="24"/>
          <w:lang w:eastAsia="en-GB"/>
        </w:rPr>
        <w:t xml:space="preserve">– the perceived ability of the organisation to meet its obligations in the short term, this will be based on measures of liquidity. </w:t>
      </w:r>
    </w:p>
    <w:p w14:paraId="7124FCD4" w14:textId="7B380457" w:rsidR="00DF27CE" w:rsidRDefault="00DF27CE" w:rsidP="0064287C">
      <w:pPr>
        <w:pStyle w:val="ListParagraph"/>
        <w:numPr>
          <w:ilvl w:val="0"/>
          <w:numId w:val="10"/>
        </w:numPr>
        <w:autoSpaceDE w:val="0"/>
        <w:autoSpaceDN w:val="0"/>
        <w:adjustRightInd w:val="0"/>
        <w:ind w:left="426"/>
        <w:jc w:val="both"/>
        <w:rPr>
          <w:rFonts w:cs="Arial"/>
          <w:color w:val="000000"/>
          <w:szCs w:val="24"/>
          <w:lang w:eastAsia="en-GB"/>
        </w:rPr>
      </w:pPr>
      <w:r>
        <w:rPr>
          <w:rFonts w:cs="Arial"/>
          <w:b/>
          <w:bCs/>
          <w:color w:val="000000"/>
          <w:szCs w:val="24"/>
          <w:lang w:eastAsia="en-GB"/>
        </w:rPr>
        <w:lastRenderedPageBreak/>
        <w:t xml:space="preserve">Long Term Rating </w:t>
      </w:r>
      <w:r>
        <w:rPr>
          <w:rFonts w:cs="Arial"/>
          <w:color w:val="000000"/>
          <w:szCs w:val="24"/>
          <w:lang w:eastAsia="en-GB"/>
        </w:rPr>
        <w:t xml:space="preserve">– the ability of the organisation to repay its debts in the long term, based on opinions regarding future stability, </w:t>
      </w:r>
      <w:proofErr w:type="gramStart"/>
      <w:r>
        <w:rPr>
          <w:rFonts w:cs="Arial"/>
          <w:color w:val="000000"/>
          <w:szCs w:val="24"/>
          <w:lang w:eastAsia="en-GB"/>
        </w:rPr>
        <w:t>e.g.</w:t>
      </w:r>
      <w:proofErr w:type="gramEnd"/>
      <w:r>
        <w:rPr>
          <w:rFonts w:cs="Arial"/>
          <w:color w:val="000000"/>
          <w:szCs w:val="24"/>
          <w:lang w:eastAsia="en-GB"/>
        </w:rPr>
        <w:t xml:space="preserve"> its exposure to ‘risky’ markets. </w:t>
      </w:r>
    </w:p>
    <w:p w14:paraId="2F0B738B" w14:textId="77777777" w:rsidR="00BD5396" w:rsidRDefault="00BD5396" w:rsidP="00D079FE">
      <w:pPr>
        <w:pStyle w:val="ListParagraph"/>
        <w:autoSpaceDE w:val="0"/>
        <w:autoSpaceDN w:val="0"/>
        <w:adjustRightInd w:val="0"/>
        <w:ind w:left="426"/>
        <w:jc w:val="both"/>
        <w:rPr>
          <w:rFonts w:cs="Arial"/>
          <w:color w:val="000000"/>
          <w:szCs w:val="24"/>
          <w:lang w:eastAsia="en-GB"/>
        </w:rPr>
      </w:pPr>
    </w:p>
    <w:p w14:paraId="3304412F" w14:textId="7D8FCBB4" w:rsidR="00DF27CE" w:rsidRDefault="00DF27CE" w:rsidP="0064287C">
      <w:pPr>
        <w:pStyle w:val="ListParagraph"/>
        <w:numPr>
          <w:ilvl w:val="0"/>
          <w:numId w:val="10"/>
        </w:numPr>
        <w:autoSpaceDE w:val="0"/>
        <w:autoSpaceDN w:val="0"/>
        <w:adjustRightInd w:val="0"/>
        <w:ind w:left="426"/>
        <w:jc w:val="both"/>
        <w:rPr>
          <w:rFonts w:cs="Arial"/>
          <w:color w:val="000000"/>
          <w:szCs w:val="24"/>
          <w:lang w:eastAsia="en-GB"/>
        </w:rPr>
      </w:pPr>
      <w:r>
        <w:rPr>
          <w:rFonts w:cs="Arial"/>
          <w:b/>
          <w:bCs/>
          <w:color w:val="000000"/>
          <w:szCs w:val="24"/>
          <w:lang w:eastAsia="en-GB"/>
        </w:rPr>
        <w:t xml:space="preserve">Individual/Financial Strength Rating </w:t>
      </w:r>
      <w:r>
        <w:rPr>
          <w:rFonts w:cs="Arial"/>
          <w:color w:val="000000"/>
          <w:szCs w:val="24"/>
          <w:lang w:eastAsia="en-GB"/>
        </w:rPr>
        <w:t xml:space="preserve">– a view of the likelihood, in the case of a financial institution failing, that its obligations would be met, in whole or part, by its shareholders, central bank or national government. </w:t>
      </w:r>
    </w:p>
    <w:p w14:paraId="1086C137" w14:textId="77777777" w:rsidR="00BD5396" w:rsidRDefault="00BD5396" w:rsidP="00BD5396">
      <w:pPr>
        <w:autoSpaceDE w:val="0"/>
        <w:autoSpaceDN w:val="0"/>
        <w:adjustRightInd w:val="0"/>
        <w:spacing w:after="21"/>
        <w:jc w:val="both"/>
        <w:rPr>
          <w:rFonts w:cs="Arial"/>
          <w:color w:val="000000"/>
          <w:szCs w:val="24"/>
          <w:lang w:eastAsia="en-GB"/>
        </w:rPr>
      </w:pPr>
    </w:p>
    <w:p w14:paraId="161D051D" w14:textId="296E6C30" w:rsidR="00DF27CE" w:rsidRPr="00BD5396" w:rsidRDefault="00DF27CE" w:rsidP="0064287C">
      <w:pPr>
        <w:pStyle w:val="ListParagraph"/>
        <w:numPr>
          <w:ilvl w:val="0"/>
          <w:numId w:val="10"/>
        </w:numPr>
        <w:autoSpaceDE w:val="0"/>
        <w:autoSpaceDN w:val="0"/>
        <w:adjustRightInd w:val="0"/>
        <w:ind w:left="426"/>
        <w:jc w:val="both"/>
        <w:rPr>
          <w:rFonts w:cs="Arial"/>
          <w:color w:val="000000"/>
          <w:szCs w:val="24"/>
          <w:lang w:eastAsia="en-GB"/>
        </w:rPr>
      </w:pPr>
      <w:r>
        <w:rPr>
          <w:rFonts w:cs="Arial"/>
          <w:b/>
          <w:bCs/>
          <w:color w:val="000000"/>
          <w:szCs w:val="24"/>
          <w:lang w:eastAsia="en-GB"/>
        </w:rPr>
        <w:t xml:space="preserve">Legal Support Rating </w:t>
      </w:r>
      <w:r>
        <w:rPr>
          <w:rFonts w:cs="Arial"/>
          <w:color w:val="000000"/>
          <w:szCs w:val="24"/>
          <w:lang w:eastAsia="en-GB"/>
        </w:rPr>
        <w:t xml:space="preserve">- a view of the likelihood, in the case of a financial institution failing, that its obligations would be met, in whole or part, by its shareholders, central bank, or national government. </w:t>
      </w:r>
      <w:r w:rsidRPr="00BD5396">
        <w:rPr>
          <w:rFonts w:cs="Arial"/>
          <w:color w:val="000000"/>
          <w:szCs w:val="24"/>
          <w:lang w:eastAsia="en-GB"/>
        </w:rPr>
        <w:t xml:space="preserve">The rating agencies constantly monitor information received regarding financial </w:t>
      </w:r>
      <w:proofErr w:type="gramStart"/>
      <w:r w:rsidRPr="00BD5396">
        <w:rPr>
          <w:rFonts w:cs="Arial"/>
          <w:color w:val="000000"/>
          <w:szCs w:val="24"/>
          <w:lang w:eastAsia="en-GB"/>
        </w:rPr>
        <w:t>institutions, and</w:t>
      </w:r>
      <w:proofErr w:type="gramEnd"/>
      <w:r w:rsidRPr="00BD5396">
        <w:rPr>
          <w:rFonts w:cs="Arial"/>
          <w:color w:val="000000"/>
          <w:szCs w:val="24"/>
          <w:lang w:eastAsia="en-GB"/>
        </w:rPr>
        <w:t xml:space="preserve"> will amend the credit ratings assigned as necessary.</w:t>
      </w:r>
    </w:p>
    <w:p w14:paraId="7259F031" w14:textId="77777777" w:rsidR="00DF27CE" w:rsidRDefault="00DF27CE" w:rsidP="00DF27CE">
      <w:pPr>
        <w:autoSpaceDE w:val="0"/>
        <w:autoSpaceDN w:val="0"/>
        <w:adjustRightInd w:val="0"/>
        <w:jc w:val="both"/>
        <w:rPr>
          <w:rFonts w:cs="Arial"/>
          <w:color w:val="000000"/>
          <w:szCs w:val="24"/>
          <w:lang w:eastAsia="en-GB"/>
        </w:rPr>
      </w:pPr>
    </w:p>
    <w:p w14:paraId="7F606CA7" w14:textId="77777777" w:rsidR="00DF27CE" w:rsidRDefault="00DF27CE" w:rsidP="0064287C">
      <w:pPr>
        <w:pStyle w:val="ListParagraph"/>
        <w:numPr>
          <w:ilvl w:val="0"/>
          <w:numId w:val="10"/>
        </w:numPr>
        <w:autoSpaceDE w:val="0"/>
        <w:autoSpaceDN w:val="0"/>
        <w:adjustRightInd w:val="0"/>
        <w:ind w:left="426"/>
        <w:jc w:val="both"/>
        <w:rPr>
          <w:rFonts w:cs="Arial"/>
          <w:color w:val="000000"/>
          <w:szCs w:val="24"/>
          <w:lang w:eastAsia="en-GB"/>
        </w:rPr>
      </w:pPr>
      <w:r>
        <w:rPr>
          <w:rFonts w:cs="Arial"/>
          <w:b/>
          <w:bCs/>
          <w:color w:val="000000"/>
          <w:szCs w:val="24"/>
          <w:lang w:eastAsia="en-GB"/>
        </w:rPr>
        <w:t>DMADF and the DMO</w:t>
      </w:r>
      <w:r>
        <w:rPr>
          <w:rFonts w:cs="Arial"/>
          <w:color w:val="000000"/>
          <w:szCs w:val="24"/>
          <w:lang w:eastAsia="en-GB"/>
        </w:rPr>
        <w:t xml:space="preserve"> – The DMADF is the ‘Debt Management Account Deposit Facility’; this is highly secure fixed term deposit account with the Debt Management Office (DMO), part of Her Majesty’s Treasury.</w:t>
      </w:r>
    </w:p>
    <w:p w14:paraId="31352F64" w14:textId="77777777" w:rsidR="00DF27CE" w:rsidRDefault="00DF27CE" w:rsidP="00DF27CE">
      <w:pPr>
        <w:pStyle w:val="ListParagraph"/>
        <w:autoSpaceDE w:val="0"/>
        <w:autoSpaceDN w:val="0"/>
        <w:adjustRightInd w:val="0"/>
        <w:ind w:left="426"/>
        <w:jc w:val="both"/>
        <w:rPr>
          <w:rFonts w:cs="Arial"/>
          <w:color w:val="000000"/>
          <w:szCs w:val="24"/>
          <w:lang w:eastAsia="en-GB"/>
        </w:rPr>
      </w:pPr>
    </w:p>
    <w:p w14:paraId="6067D862" w14:textId="77777777" w:rsidR="00DF27CE" w:rsidRDefault="00DF27CE" w:rsidP="0064287C">
      <w:pPr>
        <w:pStyle w:val="ListParagraph"/>
        <w:numPr>
          <w:ilvl w:val="0"/>
          <w:numId w:val="10"/>
        </w:numPr>
        <w:autoSpaceDE w:val="0"/>
        <w:autoSpaceDN w:val="0"/>
        <w:adjustRightInd w:val="0"/>
        <w:ind w:left="426"/>
        <w:jc w:val="both"/>
        <w:rPr>
          <w:rFonts w:cs="Arial"/>
          <w:color w:val="000000"/>
          <w:szCs w:val="24"/>
          <w:lang w:eastAsia="en-GB"/>
        </w:rPr>
      </w:pPr>
      <w:r>
        <w:rPr>
          <w:rFonts w:cs="Arial"/>
          <w:b/>
          <w:bCs/>
          <w:color w:val="000000"/>
          <w:szCs w:val="24"/>
          <w:lang w:eastAsia="en-GB"/>
        </w:rPr>
        <w:t xml:space="preserve">EIP </w:t>
      </w:r>
      <w:r>
        <w:rPr>
          <w:rFonts w:cs="Arial"/>
          <w:color w:val="000000"/>
          <w:szCs w:val="24"/>
          <w:lang w:eastAsia="en-GB"/>
        </w:rPr>
        <w:t xml:space="preserve">– Equal Instalments of Principal, a type of loan where each payment includes an equal amount in respect of loan principal is eroded, and so the total amount reduces with each instalment. </w:t>
      </w:r>
    </w:p>
    <w:p w14:paraId="0AE50544" w14:textId="77777777" w:rsidR="00DF27CE" w:rsidRDefault="00DF27CE" w:rsidP="00DF27CE">
      <w:pPr>
        <w:pStyle w:val="ListParagraph"/>
        <w:rPr>
          <w:rFonts w:cs="Arial"/>
          <w:b/>
          <w:bCs/>
          <w:color w:val="000000"/>
          <w:szCs w:val="24"/>
          <w:lang w:eastAsia="en-GB"/>
        </w:rPr>
      </w:pPr>
    </w:p>
    <w:p w14:paraId="0F07B721" w14:textId="77777777" w:rsidR="00DF27CE" w:rsidRDefault="00DF27CE" w:rsidP="0064287C">
      <w:pPr>
        <w:pStyle w:val="ListParagraph"/>
        <w:numPr>
          <w:ilvl w:val="0"/>
          <w:numId w:val="10"/>
        </w:numPr>
        <w:autoSpaceDE w:val="0"/>
        <w:autoSpaceDN w:val="0"/>
        <w:adjustRightInd w:val="0"/>
        <w:ind w:left="426"/>
        <w:jc w:val="both"/>
        <w:rPr>
          <w:rFonts w:cs="Arial"/>
          <w:color w:val="000000"/>
          <w:szCs w:val="24"/>
          <w:lang w:eastAsia="en-GB"/>
        </w:rPr>
      </w:pPr>
      <w:r>
        <w:rPr>
          <w:rFonts w:cs="Arial"/>
          <w:b/>
          <w:bCs/>
          <w:color w:val="000000"/>
          <w:szCs w:val="24"/>
          <w:lang w:eastAsia="en-GB"/>
        </w:rPr>
        <w:t xml:space="preserve">Gilts – </w:t>
      </w:r>
      <w:r>
        <w:rPr>
          <w:rFonts w:cs="Arial"/>
          <w:color w:val="000000"/>
          <w:szCs w:val="24"/>
          <w:lang w:eastAsia="en-GB"/>
        </w:rPr>
        <w:t>the name given to bonds issued by the UK Government (</w:t>
      </w:r>
      <w:proofErr w:type="gramStart"/>
      <w:r>
        <w:rPr>
          <w:rFonts w:cs="Arial"/>
          <w:color w:val="000000"/>
          <w:szCs w:val="24"/>
          <w:lang w:eastAsia="en-GB"/>
        </w:rPr>
        <w:t>i.e.</w:t>
      </w:r>
      <w:proofErr w:type="gramEnd"/>
      <w:r>
        <w:rPr>
          <w:rFonts w:cs="Arial"/>
          <w:color w:val="000000"/>
          <w:szCs w:val="24"/>
          <w:lang w:eastAsia="en-GB"/>
        </w:rPr>
        <w:t xml:space="preserve"> the loan instrument by which the Government borrows). Gilts are issued bearing interest at a specified </w:t>
      </w:r>
      <w:proofErr w:type="gramStart"/>
      <w:r>
        <w:rPr>
          <w:rFonts w:cs="Arial"/>
          <w:color w:val="000000"/>
          <w:szCs w:val="24"/>
          <w:lang w:eastAsia="en-GB"/>
        </w:rPr>
        <w:t>rate,</w:t>
      </w:r>
      <w:proofErr w:type="gramEnd"/>
      <w:r>
        <w:rPr>
          <w:rFonts w:cs="Arial"/>
          <w:color w:val="000000"/>
          <w:szCs w:val="24"/>
          <w:lang w:eastAsia="en-GB"/>
        </w:rPr>
        <w:t xml:space="preserve"> however they are then traded on the markets like shares and their value rises or falls accordingly. The Yield on a gilt is the interest paid divided by the Market Value of that gilt, </w:t>
      </w:r>
      <w:proofErr w:type="gramStart"/>
      <w:r>
        <w:rPr>
          <w:rFonts w:cs="Arial"/>
          <w:color w:val="000000"/>
          <w:szCs w:val="24"/>
          <w:lang w:eastAsia="en-GB"/>
        </w:rPr>
        <w:t>e.g.</w:t>
      </w:r>
      <w:proofErr w:type="gramEnd"/>
      <w:r>
        <w:rPr>
          <w:rFonts w:cs="Arial"/>
          <w:color w:val="000000"/>
          <w:szCs w:val="24"/>
          <w:lang w:eastAsia="en-GB"/>
        </w:rPr>
        <w:t xml:space="preserve"> a 30 year gilt is issued in 1994 at £1, bearing interest of 8%. In 1999 the market value of the gilt is £1.</w:t>
      </w:r>
      <w:proofErr w:type="gramStart"/>
      <w:r>
        <w:rPr>
          <w:rFonts w:cs="Arial"/>
          <w:color w:val="000000"/>
          <w:szCs w:val="24"/>
          <w:lang w:eastAsia="en-GB"/>
        </w:rPr>
        <w:t>45.The</w:t>
      </w:r>
      <w:proofErr w:type="gramEnd"/>
      <w:r>
        <w:rPr>
          <w:rFonts w:cs="Arial"/>
          <w:color w:val="000000"/>
          <w:szCs w:val="24"/>
          <w:lang w:eastAsia="en-GB"/>
        </w:rPr>
        <w:t xml:space="preserve"> yield on that gilt is calculated as 8%/1.45 = 5.5%. </w:t>
      </w:r>
    </w:p>
    <w:p w14:paraId="36093405" w14:textId="77777777" w:rsidR="00DF27CE" w:rsidRDefault="00DF27CE" w:rsidP="00DF27CE">
      <w:pPr>
        <w:pStyle w:val="ListParagraph"/>
        <w:rPr>
          <w:rFonts w:cs="Arial"/>
          <w:b/>
          <w:bCs/>
          <w:color w:val="000000"/>
          <w:szCs w:val="24"/>
          <w:lang w:eastAsia="en-GB"/>
        </w:rPr>
      </w:pPr>
    </w:p>
    <w:p w14:paraId="1A1D8527" w14:textId="77777777" w:rsidR="00DF27CE" w:rsidRPr="00D079FE" w:rsidRDefault="00DF27CE" w:rsidP="0064287C">
      <w:pPr>
        <w:pStyle w:val="ListParagraph"/>
        <w:numPr>
          <w:ilvl w:val="0"/>
          <w:numId w:val="10"/>
        </w:numPr>
        <w:autoSpaceDE w:val="0"/>
        <w:autoSpaceDN w:val="0"/>
        <w:adjustRightInd w:val="0"/>
        <w:ind w:left="426"/>
        <w:jc w:val="both"/>
        <w:rPr>
          <w:rFonts w:cs="Arial"/>
          <w:color w:val="000000"/>
          <w:szCs w:val="24"/>
          <w:lang w:eastAsia="en-GB"/>
        </w:rPr>
      </w:pPr>
      <w:r w:rsidRPr="00D079FE">
        <w:rPr>
          <w:rFonts w:cs="Arial"/>
          <w:b/>
          <w:bCs/>
          <w:color w:val="000000"/>
          <w:szCs w:val="24"/>
          <w:lang w:eastAsia="en-GB"/>
        </w:rPr>
        <w:t>Lender Option Borrower Option (LOBO)</w:t>
      </w:r>
      <w:r w:rsidRPr="00D079FE">
        <w:rPr>
          <w:rFonts w:cs="Arial"/>
          <w:color w:val="000000"/>
          <w:szCs w:val="24"/>
          <w:lang w:eastAsia="en-GB"/>
        </w:rPr>
        <w:t xml:space="preserve"> - LOBOs are a </w:t>
      </w:r>
      <w:proofErr w:type="gramStart"/>
      <w:r w:rsidRPr="00D079FE">
        <w:rPr>
          <w:rFonts w:cs="Arial"/>
          <w:color w:val="000000"/>
          <w:szCs w:val="24"/>
          <w:lang w:eastAsia="en-GB"/>
        </w:rPr>
        <w:t>long term</w:t>
      </w:r>
      <w:proofErr w:type="gramEnd"/>
      <w:r w:rsidRPr="00D079FE">
        <w:rPr>
          <w:rFonts w:cs="Arial"/>
          <w:color w:val="000000"/>
          <w:szCs w:val="24"/>
          <w:lang w:eastAsia="en-GB"/>
        </w:rPr>
        <w:t xml:space="preserve"> borrowing instrument commonly used by banks. It is an alternative lender option to the Government’s Public Works Loan Board. In simple terms the instrument gets its name because the lender has an option to set revised interest rates at predetermined dates, and at which point the borrower has the option to accept the revised rates or pay the debt in full without penalty. </w:t>
      </w:r>
    </w:p>
    <w:p w14:paraId="7989DAC4" w14:textId="77777777" w:rsidR="00DF27CE" w:rsidRPr="00D079FE" w:rsidRDefault="00DF27CE" w:rsidP="00D079FE">
      <w:pPr>
        <w:pStyle w:val="ListParagraph"/>
        <w:autoSpaceDE w:val="0"/>
        <w:autoSpaceDN w:val="0"/>
        <w:adjustRightInd w:val="0"/>
        <w:ind w:left="426"/>
        <w:jc w:val="both"/>
        <w:rPr>
          <w:rFonts w:cs="Arial"/>
          <w:color w:val="000000"/>
          <w:szCs w:val="24"/>
          <w:lang w:eastAsia="en-GB"/>
        </w:rPr>
      </w:pPr>
    </w:p>
    <w:p w14:paraId="2FCD7DA0" w14:textId="77777777" w:rsidR="00DF27CE" w:rsidRDefault="00DF27CE" w:rsidP="0064287C">
      <w:pPr>
        <w:pStyle w:val="ListParagraph"/>
        <w:numPr>
          <w:ilvl w:val="0"/>
          <w:numId w:val="10"/>
        </w:numPr>
        <w:autoSpaceDE w:val="0"/>
        <w:autoSpaceDN w:val="0"/>
        <w:adjustRightInd w:val="0"/>
        <w:ind w:left="426"/>
        <w:jc w:val="both"/>
        <w:rPr>
          <w:rFonts w:cs="Arial"/>
          <w:color w:val="000000"/>
          <w:szCs w:val="24"/>
          <w:lang w:eastAsia="en-GB"/>
        </w:rPr>
      </w:pPr>
      <w:r>
        <w:rPr>
          <w:rFonts w:cs="Arial"/>
          <w:b/>
          <w:bCs/>
          <w:color w:val="000000"/>
          <w:szCs w:val="24"/>
          <w:lang w:eastAsia="en-GB"/>
        </w:rPr>
        <w:t xml:space="preserve">Liquidity </w:t>
      </w:r>
      <w:r>
        <w:rPr>
          <w:rFonts w:cs="Arial"/>
          <w:color w:val="000000"/>
          <w:szCs w:val="24"/>
          <w:lang w:eastAsia="en-GB"/>
        </w:rPr>
        <w:t xml:space="preserve">– Relates to the amount of readily available, or short term, investment money which can be used for either day to day or unforeseen expenses. For </w:t>
      </w:r>
      <w:proofErr w:type="gramStart"/>
      <w:r>
        <w:rPr>
          <w:rFonts w:cs="Arial"/>
          <w:color w:val="000000"/>
          <w:szCs w:val="24"/>
          <w:lang w:eastAsia="en-GB"/>
        </w:rPr>
        <w:t>example</w:t>
      </w:r>
      <w:proofErr w:type="gramEnd"/>
      <w:r>
        <w:rPr>
          <w:rFonts w:cs="Arial"/>
          <w:color w:val="000000"/>
          <w:szCs w:val="24"/>
          <w:lang w:eastAsia="en-GB"/>
        </w:rPr>
        <w:t xml:space="preserve"> Call Accounts allow instant daily access to invested funds. </w:t>
      </w:r>
    </w:p>
    <w:p w14:paraId="79593611" w14:textId="77777777" w:rsidR="00DF27CE" w:rsidRDefault="00DF27CE" w:rsidP="00DF27CE">
      <w:pPr>
        <w:pStyle w:val="ListParagraph"/>
        <w:rPr>
          <w:rFonts w:cs="Arial"/>
          <w:b/>
          <w:bCs/>
          <w:color w:val="000000"/>
          <w:szCs w:val="24"/>
          <w:lang w:eastAsia="en-GB"/>
        </w:rPr>
      </w:pPr>
    </w:p>
    <w:p w14:paraId="6E7C2D4C" w14:textId="77777777" w:rsidR="00DF27CE" w:rsidRDefault="00DF27CE" w:rsidP="0064287C">
      <w:pPr>
        <w:pStyle w:val="ListParagraph"/>
        <w:numPr>
          <w:ilvl w:val="0"/>
          <w:numId w:val="10"/>
        </w:numPr>
        <w:autoSpaceDE w:val="0"/>
        <w:autoSpaceDN w:val="0"/>
        <w:adjustRightInd w:val="0"/>
        <w:ind w:left="426"/>
        <w:jc w:val="both"/>
        <w:rPr>
          <w:rFonts w:cs="Arial"/>
          <w:color w:val="000000"/>
          <w:szCs w:val="24"/>
          <w:lang w:eastAsia="en-GB"/>
        </w:rPr>
      </w:pPr>
      <w:r>
        <w:rPr>
          <w:rFonts w:cs="Arial"/>
          <w:b/>
          <w:bCs/>
          <w:color w:val="000000"/>
          <w:szCs w:val="24"/>
          <w:lang w:eastAsia="en-GB"/>
        </w:rPr>
        <w:t xml:space="preserve">Market – </w:t>
      </w:r>
      <w:r>
        <w:rPr>
          <w:rFonts w:cs="Arial"/>
          <w:color w:val="000000"/>
          <w:szCs w:val="24"/>
          <w:lang w:eastAsia="en-GB"/>
        </w:rPr>
        <w:t xml:space="preserve">The private sector institutions </w:t>
      </w:r>
      <w:proofErr w:type="gramStart"/>
      <w:r>
        <w:rPr>
          <w:rFonts w:cs="Arial"/>
          <w:color w:val="000000"/>
          <w:szCs w:val="24"/>
          <w:lang w:eastAsia="en-GB"/>
        </w:rPr>
        <w:t>e.g.</w:t>
      </w:r>
      <w:proofErr w:type="gramEnd"/>
      <w:r>
        <w:rPr>
          <w:rFonts w:cs="Arial"/>
          <w:color w:val="000000"/>
          <w:szCs w:val="24"/>
          <w:lang w:eastAsia="en-GB"/>
        </w:rPr>
        <w:t xml:space="preserve"> banks, building societies.</w:t>
      </w:r>
    </w:p>
    <w:p w14:paraId="2CE2B805" w14:textId="77777777" w:rsidR="00DF27CE" w:rsidRDefault="00DF27CE" w:rsidP="00DF27CE">
      <w:pPr>
        <w:pStyle w:val="ListParagraph"/>
        <w:rPr>
          <w:rFonts w:cs="Arial"/>
          <w:b/>
          <w:bCs/>
          <w:color w:val="000000"/>
          <w:szCs w:val="24"/>
          <w:lang w:eastAsia="en-GB"/>
        </w:rPr>
      </w:pPr>
    </w:p>
    <w:p w14:paraId="10BA5197" w14:textId="77777777" w:rsidR="00DF27CE" w:rsidRDefault="00DF27CE" w:rsidP="0064287C">
      <w:pPr>
        <w:pStyle w:val="ListParagraph"/>
        <w:numPr>
          <w:ilvl w:val="0"/>
          <w:numId w:val="10"/>
        </w:numPr>
        <w:autoSpaceDE w:val="0"/>
        <w:autoSpaceDN w:val="0"/>
        <w:adjustRightInd w:val="0"/>
        <w:ind w:left="426"/>
        <w:jc w:val="both"/>
        <w:rPr>
          <w:rFonts w:cs="Arial"/>
          <w:color w:val="000000"/>
          <w:szCs w:val="24"/>
          <w:lang w:eastAsia="en-GB"/>
        </w:rPr>
      </w:pPr>
      <w:r>
        <w:rPr>
          <w:rFonts w:cs="Arial"/>
          <w:b/>
          <w:bCs/>
          <w:color w:val="000000"/>
          <w:szCs w:val="24"/>
          <w:lang w:eastAsia="en-GB"/>
        </w:rPr>
        <w:t xml:space="preserve">Maturity </w:t>
      </w:r>
      <w:r>
        <w:rPr>
          <w:rFonts w:cs="Arial"/>
          <w:color w:val="000000"/>
          <w:szCs w:val="24"/>
          <w:lang w:eastAsia="en-GB"/>
        </w:rPr>
        <w:t xml:space="preserve">- Type of loan where only payments of interest are made during the life of the loan, with the total amount of principal falling due at the end of the loan period. </w:t>
      </w:r>
    </w:p>
    <w:p w14:paraId="56D8C30E" w14:textId="77777777" w:rsidR="00DF27CE" w:rsidRDefault="00DF27CE" w:rsidP="00DF27CE">
      <w:pPr>
        <w:pStyle w:val="ListParagraph"/>
        <w:rPr>
          <w:rFonts w:cs="Arial"/>
          <w:b/>
          <w:bCs/>
          <w:color w:val="000000"/>
          <w:szCs w:val="24"/>
          <w:lang w:eastAsia="en-GB"/>
        </w:rPr>
      </w:pPr>
    </w:p>
    <w:p w14:paraId="54BFC893" w14:textId="77777777" w:rsidR="00DF27CE" w:rsidRDefault="00DF27CE" w:rsidP="0064287C">
      <w:pPr>
        <w:pStyle w:val="ListParagraph"/>
        <w:numPr>
          <w:ilvl w:val="0"/>
          <w:numId w:val="10"/>
        </w:numPr>
        <w:autoSpaceDE w:val="0"/>
        <w:autoSpaceDN w:val="0"/>
        <w:adjustRightInd w:val="0"/>
        <w:ind w:left="426"/>
        <w:jc w:val="both"/>
        <w:rPr>
          <w:rFonts w:cs="Arial"/>
          <w:color w:val="000000"/>
          <w:szCs w:val="24"/>
          <w:lang w:eastAsia="en-GB"/>
        </w:rPr>
      </w:pPr>
      <w:r>
        <w:rPr>
          <w:rFonts w:cs="Arial"/>
          <w:b/>
          <w:bCs/>
          <w:color w:val="000000"/>
          <w:szCs w:val="24"/>
          <w:lang w:eastAsia="en-GB"/>
        </w:rPr>
        <w:t xml:space="preserve">Minimum Revenue Provision (MRP) – </w:t>
      </w:r>
      <w:r>
        <w:rPr>
          <w:rFonts w:cs="Arial"/>
          <w:color w:val="000000"/>
          <w:szCs w:val="24"/>
          <w:lang w:eastAsia="en-GB"/>
        </w:rPr>
        <w:t xml:space="preserve">A statutory amount charged to the Council’s revenue account for the provision to repay the loan principal on debt undertaken to finance the Capital Programme. For the Council this is </w:t>
      </w:r>
      <w:r>
        <w:rPr>
          <w:rFonts w:cs="Arial"/>
          <w:color w:val="000000"/>
          <w:szCs w:val="24"/>
          <w:lang w:eastAsia="en-GB"/>
        </w:rPr>
        <w:lastRenderedPageBreak/>
        <w:t xml:space="preserve">done on a </w:t>
      </w:r>
      <w:proofErr w:type="gramStart"/>
      <w:r>
        <w:rPr>
          <w:rFonts w:cs="Arial"/>
          <w:color w:val="000000"/>
          <w:szCs w:val="24"/>
          <w:lang w:eastAsia="en-GB"/>
        </w:rPr>
        <w:t>straight line</w:t>
      </w:r>
      <w:proofErr w:type="gramEnd"/>
      <w:r>
        <w:rPr>
          <w:rFonts w:cs="Arial"/>
          <w:color w:val="000000"/>
          <w:szCs w:val="24"/>
          <w:lang w:eastAsia="en-GB"/>
        </w:rPr>
        <w:t xml:space="preserve"> basis in-line with the asset life and commences the financial year after the asset is operational. </w:t>
      </w:r>
    </w:p>
    <w:p w14:paraId="5C7E9D19" w14:textId="77777777" w:rsidR="00DF27CE" w:rsidRDefault="00DF27CE" w:rsidP="00DF27CE">
      <w:pPr>
        <w:pStyle w:val="ListParagraph"/>
        <w:rPr>
          <w:rFonts w:cs="Arial"/>
          <w:b/>
          <w:bCs/>
          <w:color w:val="000000"/>
          <w:szCs w:val="24"/>
          <w:lang w:eastAsia="en-GB"/>
        </w:rPr>
      </w:pPr>
    </w:p>
    <w:p w14:paraId="005D9EEE" w14:textId="77777777" w:rsidR="00DF27CE" w:rsidRDefault="00DF27CE" w:rsidP="0064287C">
      <w:pPr>
        <w:pStyle w:val="ListParagraph"/>
        <w:numPr>
          <w:ilvl w:val="0"/>
          <w:numId w:val="10"/>
        </w:numPr>
        <w:autoSpaceDE w:val="0"/>
        <w:autoSpaceDN w:val="0"/>
        <w:adjustRightInd w:val="0"/>
        <w:ind w:left="426"/>
        <w:jc w:val="both"/>
        <w:rPr>
          <w:rFonts w:cs="Arial"/>
          <w:color w:val="000000"/>
          <w:szCs w:val="24"/>
          <w:lang w:eastAsia="en-GB"/>
        </w:rPr>
      </w:pPr>
      <w:r>
        <w:rPr>
          <w:rFonts w:cs="Arial"/>
          <w:b/>
          <w:bCs/>
          <w:color w:val="000000"/>
          <w:szCs w:val="24"/>
          <w:lang w:eastAsia="en-GB"/>
        </w:rPr>
        <w:t xml:space="preserve">Monetary Policy Committee (MPC) </w:t>
      </w:r>
      <w:r>
        <w:rPr>
          <w:rFonts w:cs="Arial"/>
          <w:color w:val="000000"/>
          <w:szCs w:val="24"/>
          <w:lang w:eastAsia="en-GB"/>
        </w:rPr>
        <w:t xml:space="preserve">– group that sets the bank base rate for the Bank of England. </w:t>
      </w:r>
    </w:p>
    <w:p w14:paraId="22A6B195" w14:textId="77777777" w:rsidR="00DF27CE" w:rsidRDefault="00DF27CE" w:rsidP="00DF27CE">
      <w:pPr>
        <w:pStyle w:val="ListParagraph"/>
        <w:rPr>
          <w:rFonts w:cs="Arial"/>
          <w:b/>
          <w:bCs/>
          <w:color w:val="000000"/>
          <w:szCs w:val="24"/>
          <w:lang w:eastAsia="en-GB"/>
        </w:rPr>
      </w:pPr>
    </w:p>
    <w:p w14:paraId="6FF75F8B" w14:textId="77777777" w:rsidR="00DF27CE" w:rsidRDefault="00DF27CE" w:rsidP="0064287C">
      <w:pPr>
        <w:pStyle w:val="ListParagraph"/>
        <w:numPr>
          <w:ilvl w:val="0"/>
          <w:numId w:val="10"/>
        </w:numPr>
        <w:autoSpaceDE w:val="0"/>
        <w:autoSpaceDN w:val="0"/>
        <w:adjustRightInd w:val="0"/>
        <w:ind w:left="426"/>
        <w:jc w:val="both"/>
        <w:rPr>
          <w:rFonts w:cs="Arial"/>
          <w:color w:val="000000"/>
          <w:szCs w:val="24"/>
          <w:lang w:eastAsia="en-GB"/>
        </w:rPr>
      </w:pPr>
      <w:r>
        <w:rPr>
          <w:rFonts w:cs="Arial"/>
          <w:b/>
          <w:bCs/>
          <w:color w:val="000000"/>
          <w:szCs w:val="24"/>
          <w:lang w:eastAsia="en-GB"/>
        </w:rPr>
        <w:t xml:space="preserve">Money Market Fund (MMF) </w:t>
      </w:r>
      <w:r>
        <w:rPr>
          <w:rFonts w:cs="Arial"/>
          <w:color w:val="000000"/>
          <w:szCs w:val="24"/>
          <w:lang w:eastAsia="en-GB"/>
        </w:rPr>
        <w:t xml:space="preserve">– A highly diversified pooled investment vehicle whose assets mainly comprise of </w:t>
      </w:r>
      <w:proofErr w:type="gramStart"/>
      <w:r>
        <w:rPr>
          <w:rFonts w:cs="Arial"/>
          <w:color w:val="000000"/>
          <w:szCs w:val="24"/>
          <w:lang w:eastAsia="en-GB"/>
        </w:rPr>
        <w:t>short term</w:t>
      </w:r>
      <w:proofErr w:type="gramEnd"/>
      <w:r>
        <w:rPr>
          <w:rFonts w:cs="Arial"/>
          <w:color w:val="000000"/>
          <w:szCs w:val="24"/>
          <w:lang w:eastAsia="en-GB"/>
        </w:rPr>
        <w:t xml:space="preserve"> instruments. </w:t>
      </w:r>
    </w:p>
    <w:p w14:paraId="00194B7D" w14:textId="77777777" w:rsidR="00DF27CE" w:rsidRDefault="00DF27CE" w:rsidP="00DF27CE">
      <w:pPr>
        <w:pStyle w:val="ListParagraph"/>
        <w:rPr>
          <w:rFonts w:cs="Arial"/>
          <w:b/>
          <w:bCs/>
          <w:color w:val="000000"/>
          <w:szCs w:val="24"/>
          <w:lang w:eastAsia="en-GB"/>
        </w:rPr>
      </w:pPr>
    </w:p>
    <w:p w14:paraId="6571B4C7" w14:textId="77777777" w:rsidR="00DF27CE" w:rsidRDefault="00DF27CE" w:rsidP="0064287C">
      <w:pPr>
        <w:pStyle w:val="ListParagraph"/>
        <w:numPr>
          <w:ilvl w:val="0"/>
          <w:numId w:val="10"/>
        </w:numPr>
        <w:autoSpaceDE w:val="0"/>
        <w:autoSpaceDN w:val="0"/>
        <w:adjustRightInd w:val="0"/>
        <w:ind w:left="426"/>
        <w:jc w:val="both"/>
        <w:rPr>
          <w:rFonts w:cs="Arial"/>
          <w:color w:val="000000"/>
          <w:szCs w:val="24"/>
          <w:lang w:eastAsia="en-GB"/>
        </w:rPr>
      </w:pPr>
      <w:r>
        <w:rPr>
          <w:rFonts w:cs="Arial"/>
          <w:b/>
          <w:bCs/>
          <w:color w:val="000000"/>
          <w:szCs w:val="24"/>
          <w:lang w:eastAsia="en-GB"/>
        </w:rPr>
        <w:t xml:space="preserve">Multilateral Development Banks (MDB) </w:t>
      </w:r>
      <w:r>
        <w:rPr>
          <w:rFonts w:cs="Arial"/>
          <w:color w:val="000000"/>
          <w:szCs w:val="24"/>
          <w:lang w:eastAsia="en-GB"/>
        </w:rPr>
        <w:t>– these are supranational institutions set up by sovereign states, which are their shareholders (</w:t>
      </w:r>
      <w:proofErr w:type="gramStart"/>
      <w:r>
        <w:rPr>
          <w:rFonts w:cs="Arial"/>
          <w:color w:val="000000"/>
          <w:szCs w:val="24"/>
          <w:lang w:eastAsia="en-GB"/>
        </w:rPr>
        <w:t>e.g.</w:t>
      </w:r>
      <w:proofErr w:type="gramEnd"/>
      <w:r>
        <w:rPr>
          <w:rFonts w:cs="Arial"/>
          <w:color w:val="000000"/>
          <w:szCs w:val="24"/>
          <w:lang w:eastAsia="en-GB"/>
        </w:rPr>
        <w:t xml:space="preserve"> European Investment Bank). Their remits reflect the development aid and cooperation policies established by these states. </w:t>
      </w:r>
    </w:p>
    <w:p w14:paraId="5631233D" w14:textId="77777777" w:rsidR="00DF27CE" w:rsidRDefault="00DF27CE" w:rsidP="00DF27CE">
      <w:pPr>
        <w:pStyle w:val="ListParagraph"/>
        <w:rPr>
          <w:rFonts w:cs="Arial"/>
          <w:b/>
          <w:bCs/>
          <w:color w:val="000000"/>
          <w:szCs w:val="24"/>
          <w:lang w:eastAsia="en-GB"/>
        </w:rPr>
      </w:pPr>
    </w:p>
    <w:p w14:paraId="3621C6AF" w14:textId="77777777" w:rsidR="00DF27CE" w:rsidRDefault="00DF27CE" w:rsidP="0064287C">
      <w:pPr>
        <w:pStyle w:val="ListParagraph"/>
        <w:numPr>
          <w:ilvl w:val="0"/>
          <w:numId w:val="10"/>
        </w:numPr>
        <w:autoSpaceDE w:val="0"/>
        <w:autoSpaceDN w:val="0"/>
        <w:adjustRightInd w:val="0"/>
        <w:ind w:left="426"/>
        <w:jc w:val="both"/>
        <w:rPr>
          <w:rFonts w:cs="Arial"/>
          <w:color w:val="000000"/>
          <w:szCs w:val="24"/>
          <w:lang w:eastAsia="en-GB"/>
        </w:rPr>
      </w:pPr>
      <w:r>
        <w:rPr>
          <w:rFonts w:cs="Arial"/>
          <w:b/>
          <w:bCs/>
          <w:color w:val="000000"/>
          <w:szCs w:val="24"/>
          <w:lang w:eastAsia="en-GB"/>
        </w:rPr>
        <w:t xml:space="preserve">Policy and Strategy Documents </w:t>
      </w:r>
      <w:r>
        <w:rPr>
          <w:rFonts w:cs="Arial"/>
          <w:color w:val="000000"/>
          <w:szCs w:val="24"/>
          <w:lang w:eastAsia="en-GB"/>
        </w:rPr>
        <w:t xml:space="preserve">– Documents required by the CIPFA Code of Practice on Treasury Management in Local Authorities. These set out the framework for treasury management operations during the year. </w:t>
      </w:r>
    </w:p>
    <w:p w14:paraId="48CFF427" w14:textId="77777777" w:rsidR="00DF27CE" w:rsidRDefault="00DF27CE" w:rsidP="00DF27CE">
      <w:pPr>
        <w:pStyle w:val="ListParagraph"/>
        <w:rPr>
          <w:rFonts w:cs="Arial"/>
          <w:b/>
          <w:bCs/>
          <w:color w:val="000000"/>
          <w:szCs w:val="24"/>
          <w:lang w:eastAsia="en-GB"/>
        </w:rPr>
      </w:pPr>
    </w:p>
    <w:p w14:paraId="6CD64811" w14:textId="77777777" w:rsidR="00DF27CE" w:rsidRDefault="00DF27CE" w:rsidP="0064287C">
      <w:pPr>
        <w:pStyle w:val="ListParagraph"/>
        <w:numPr>
          <w:ilvl w:val="0"/>
          <w:numId w:val="10"/>
        </w:numPr>
        <w:autoSpaceDE w:val="0"/>
        <w:autoSpaceDN w:val="0"/>
        <w:adjustRightInd w:val="0"/>
        <w:ind w:left="426"/>
        <w:jc w:val="both"/>
        <w:rPr>
          <w:rFonts w:cs="Arial"/>
          <w:color w:val="000000"/>
          <w:szCs w:val="24"/>
          <w:lang w:eastAsia="en-GB"/>
        </w:rPr>
      </w:pPr>
      <w:r>
        <w:rPr>
          <w:rFonts w:cs="Arial"/>
          <w:b/>
          <w:bCs/>
          <w:color w:val="000000"/>
          <w:szCs w:val="24"/>
          <w:lang w:eastAsia="en-GB"/>
        </w:rPr>
        <w:t xml:space="preserve">Public Works Loans Board (PWLB) </w:t>
      </w:r>
      <w:r>
        <w:rPr>
          <w:rFonts w:cs="Arial"/>
          <w:color w:val="000000"/>
          <w:szCs w:val="24"/>
          <w:lang w:eastAsia="en-GB"/>
        </w:rPr>
        <w:t xml:space="preserve">– a central government agency providing </w:t>
      </w:r>
      <w:proofErr w:type="gramStart"/>
      <w:r>
        <w:rPr>
          <w:rFonts w:cs="Arial"/>
          <w:color w:val="000000"/>
          <w:szCs w:val="24"/>
          <w:lang w:eastAsia="en-GB"/>
        </w:rPr>
        <w:t>long and short term</w:t>
      </w:r>
      <w:proofErr w:type="gramEnd"/>
      <w:r>
        <w:rPr>
          <w:rFonts w:cs="Arial"/>
          <w:color w:val="000000"/>
          <w:szCs w:val="24"/>
          <w:lang w:eastAsia="en-GB"/>
        </w:rPr>
        <w:t xml:space="preserve"> loans to Local Authorities. Rates are set daily at a margin over the Gilt yield (see Gilts above). Loans may be taken at fixed or variable rates and as an Annuity, Maturity, or EIP loans (see separate definitions) over periods of up to fifty years. Financing is also available from the money markets, however because of its nature the PWLB is generally able to offer better terms. </w:t>
      </w:r>
    </w:p>
    <w:p w14:paraId="7397B473" w14:textId="77777777" w:rsidR="00DF27CE" w:rsidRDefault="00DF27CE" w:rsidP="00DF27CE">
      <w:pPr>
        <w:pStyle w:val="ListParagraph"/>
        <w:rPr>
          <w:rFonts w:cs="Arial"/>
          <w:b/>
          <w:bCs/>
          <w:color w:val="000000"/>
          <w:szCs w:val="24"/>
          <w:lang w:eastAsia="en-GB"/>
        </w:rPr>
      </w:pPr>
    </w:p>
    <w:p w14:paraId="287ABAF7" w14:textId="7BCDD7BD" w:rsidR="00F01E26" w:rsidRPr="00F01E26" w:rsidRDefault="00F01E26" w:rsidP="0064287C">
      <w:pPr>
        <w:pStyle w:val="ListParagraph"/>
        <w:numPr>
          <w:ilvl w:val="0"/>
          <w:numId w:val="10"/>
        </w:numPr>
        <w:autoSpaceDE w:val="0"/>
        <w:autoSpaceDN w:val="0"/>
        <w:adjustRightInd w:val="0"/>
        <w:ind w:left="426"/>
        <w:jc w:val="both"/>
        <w:rPr>
          <w:rFonts w:cs="Arial"/>
          <w:color w:val="000000"/>
          <w:szCs w:val="24"/>
          <w:lang w:eastAsia="en-GB"/>
        </w:rPr>
      </w:pPr>
      <w:r w:rsidRPr="00F01E26">
        <w:rPr>
          <w:rFonts w:cs="Arial"/>
          <w:b/>
          <w:bCs/>
          <w:color w:val="000000"/>
          <w:szCs w:val="24"/>
          <w:lang w:eastAsia="en-GB"/>
        </w:rPr>
        <w:t>Sterling Overnight Index Average (SONIA)</w:t>
      </w:r>
      <w:r>
        <w:rPr>
          <w:rFonts w:cs="Arial"/>
          <w:color w:val="000000"/>
          <w:szCs w:val="24"/>
          <w:lang w:eastAsia="en-GB"/>
        </w:rPr>
        <w:t xml:space="preserve"> – Replacement for LIBOR (London Interbank Offered Rate) which was calculated based on estimates of interest rates at which banks would lend to one another.  SONIA is a </w:t>
      </w:r>
      <w:proofErr w:type="gramStart"/>
      <w:r>
        <w:rPr>
          <w:rFonts w:cs="Arial"/>
          <w:color w:val="000000"/>
          <w:szCs w:val="24"/>
          <w:lang w:eastAsia="en-GB"/>
        </w:rPr>
        <w:t>risk free</w:t>
      </w:r>
      <w:proofErr w:type="gramEnd"/>
      <w:r>
        <w:rPr>
          <w:rFonts w:cs="Arial"/>
          <w:color w:val="000000"/>
          <w:szCs w:val="24"/>
          <w:lang w:eastAsia="en-GB"/>
        </w:rPr>
        <w:t xml:space="preserve"> overnight interest rate based on actual transactions and reflects the interest rate that banks pay to borrow sterling overnight from other financial institutions and other institutional investors.</w:t>
      </w:r>
    </w:p>
    <w:p w14:paraId="07636BE7" w14:textId="77777777" w:rsidR="00F01E26" w:rsidRPr="00F01E26" w:rsidRDefault="00F01E26" w:rsidP="00F01E26">
      <w:pPr>
        <w:pStyle w:val="ListParagraph"/>
        <w:rPr>
          <w:rFonts w:cs="Arial"/>
          <w:b/>
          <w:bCs/>
          <w:color w:val="000000"/>
          <w:szCs w:val="24"/>
          <w:lang w:eastAsia="en-GB"/>
        </w:rPr>
      </w:pPr>
    </w:p>
    <w:p w14:paraId="1DF29EC9" w14:textId="30758BA3" w:rsidR="00DF27CE" w:rsidRDefault="00DF27CE" w:rsidP="0064287C">
      <w:pPr>
        <w:pStyle w:val="ListParagraph"/>
        <w:numPr>
          <w:ilvl w:val="0"/>
          <w:numId w:val="10"/>
        </w:numPr>
        <w:autoSpaceDE w:val="0"/>
        <w:autoSpaceDN w:val="0"/>
        <w:adjustRightInd w:val="0"/>
        <w:ind w:left="426"/>
        <w:jc w:val="both"/>
        <w:rPr>
          <w:rFonts w:cs="Arial"/>
          <w:color w:val="000000"/>
          <w:szCs w:val="24"/>
          <w:lang w:eastAsia="en-GB"/>
        </w:rPr>
      </w:pPr>
      <w:r>
        <w:rPr>
          <w:rFonts w:cs="Arial"/>
          <w:b/>
          <w:bCs/>
          <w:color w:val="000000"/>
          <w:szCs w:val="24"/>
          <w:lang w:eastAsia="en-GB"/>
        </w:rPr>
        <w:t xml:space="preserve">Yield </w:t>
      </w:r>
      <w:r>
        <w:rPr>
          <w:rFonts w:cs="Arial"/>
          <w:color w:val="000000"/>
          <w:szCs w:val="24"/>
          <w:lang w:eastAsia="en-GB"/>
        </w:rPr>
        <w:t xml:space="preserve">– The amount in cash (in percentage terms) that returns to the owners of an investment </w:t>
      </w:r>
      <w:proofErr w:type="gramStart"/>
      <w:r>
        <w:rPr>
          <w:rFonts w:cs="Arial"/>
          <w:color w:val="000000"/>
          <w:szCs w:val="24"/>
          <w:lang w:eastAsia="en-GB"/>
        </w:rPr>
        <w:t>e.g.</w:t>
      </w:r>
      <w:proofErr w:type="gramEnd"/>
      <w:r>
        <w:rPr>
          <w:rFonts w:cs="Arial"/>
          <w:color w:val="000000"/>
          <w:szCs w:val="24"/>
          <w:lang w:eastAsia="en-GB"/>
        </w:rPr>
        <w:t xml:space="preserve"> interest earned from a deposit.</w:t>
      </w:r>
    </w:p>
    <w:p w14:paraId="7FC233FF" w14:textId="77777777" w:rsidR="00DF27CE" w:rsidRDefault="00DF27CE" w:rsidP="00DF27CE">
      <w:pPr>
        <w:jc w:val="both"/>
        <w:rPr>
          <w:rFonts w:cs="Arial"/>
          <w:szCs w:val="24"/>
        </w:rPr>
      </w:pPr>
    </w:p>
    <w:p w14:paraId="5851B991" w14:textId="77777777" w:rsidR="00DF27CE" w:rsidRDefault="00DF27CE" w:rsidP="00DF27CE">
      <w:pPr>
        <w:ind w:left="561"/>
        <w:jc w:val="both"/>
        <w:rPr>
          <w:szCs w:val="24"/>
        </w:rPr>
      </w:pPr>
    </w:p>
    <w:p w14:paraId="5248DA4C" w14:textId="77777777" w:rsidR="00DF27CE" w:rsidRDefault="00DF27CE" w:rsidP="00DF27CE">
      <w:pPr>
        <w:ind w:left="561"/>
        <w:jc w:val="both"/>
        <w:rPr>
          <w:szCs w:val="24"/>
        </w:rPr>
      </w:pPr>
    </w:p>
    <w:p w14:paraId="49E3C06B" w14:textId="34B0DAEA" w:rsidR="00ED1ECB" w:rsidRPr="00DF27CE" w:rsidRDefault="00ED1ECB" w:rsidP="00ED6776">
      <w:pPr>
        <w:pStyle w:val="Infotext"/>
        <w:tabs>
          <w:tab w:val="left" w:pos="3768"/>
          <w:tab w:val="left" w:pos="4315"/>
        </w:tabs>
        <w:rPr>
          <w:rFonts w:cs="Arial"/>
          <w:iCs/>
          <w:sz w:val="24"/>
          <w:szCs w:val="24"/>
          <w:lang w:eastAsia="en-GB"/>
        </w:rPr>
      </w:pPr>
    </w:p>
    <w:sectPr w:rsidR="00ED1ECB" w:rsidRPr="00DF27CE" w:rsidSect="001614E0">
      <w:headerReference w:type="default" r:id="rId36"/>
      <w:headerReference w:type="first" r:id="rId37"/>
      <w:footerReference w:type="first" r:id="rId38"/>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D7CAD" w14:textId="77777777" w:rsidR="00CC707A" w:rsidRDefault="00CC707A">
      <w:r>
        <w:separator/>
      </w:r>
    </w:p>
  </w:endnote>
  <w:endnote w:type="continuationSeparator" w:id="0">
    <w:p w14:paraId="7182B483" w14:textId="77777777" w:rsidR="00CC707A" w:rsidRDefault="00CC7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Bliss 2 Regular">
    <w:altName w:val="Calibri"/>
    <w:panose1 w:val="00000000000000000000"/>
    <w:charset w:val="00"/>
    <w:family w:val="modern"/>
    <w:notTrueType/>
    <w:pitch w:val="variable"/>
    <w:sig w:usb0="A00000AF" w:usb1="5000204B" w:usb2="00000000" w:usb3="00000000" w:csb0="0000009B"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tima LT Std">
    <w:altName w:val="Calibri"/>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oundry Form Sans">
    <w:altName w:val="Calibri"/>
    <w:charset w:val="00"/>
    <w:family w:val="auto"/>
    <w:pitch w:val="variable"/>
    <w:sig w:usb0="800000A7" w:usb1="0000004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liss 2 Light">
    <w:altName w:val="Bliss 2 Light"/>
    <w:panose1 w:val="00000000000000000000"/>
    <w:charset w:val="00"/>
    <w:family w:val="swiss"/>
    <w:notTrueType/>
    <w:pitch w:val="default"/>
    <w:sig w:usb0="00000003" w:usb1="00000000" w:usb2="00000000" w:usb3="00000000" w:csb0="00000001" w:csb1="00000000"/>
  </w:font>
  <w:font w:name="CPAFB D+ Optima">
    <w:altName w:val="Calibri"/>
    <w:panose1 w:val="00000000000000000000"/>
    <w:charset w:val="00"/>
    <w:family w:val="swiss"/>
    <w:notTrueType/>
    <w:pitch w:val="default"/>
    <w:sig w:usb0="00000003" w:usb1="00000000" w:usb2="00000000" w:usb3="00000000" w:csb0="00000001" w:csb1="00000000"/>
  </w:font>
  <w:font w:name="Foundry Sans">
    <w:altName w:val="Bell MT"/>
    <w:charset w:val="00"/>
    <w:family w:val="auto"/>
    <w:pitch w:val="variable"/>
    <w:sig w:usb0="800000A7" w:usb1="00000040" w:usb2="00000000" w:usb3="00000000" w:csb0="00000001" w:csb1="00000000"/>
  </w:font>
  <w:font w:name="Muli Light">
    <w:altName w:val="Muli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A2D47" w14:textId="77777777" w:rsidR="002C617D" w:rsidRPr="004F56C5" w:rsidRDefault="002C617D" w:rsidP="004F5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ABFEA" w14:textId="77777777" w:rsidR="00CC707A" w:rsidRDefault="00CC707A">
      <w:r>
        <w:separator/>
      </w:r>
    </w:p>
  </w:footnote>
  <w:footnote w:type="continuationSeparator" w:id="0">
    <w:p w14:paraId="3BA7D744" w14:textId="77777777" w:rsidR="00CC707A" w:rsidRDefault="00CC70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AC79B" w14:textId="77777777" w:rsidR="002C617D" w:rsidRDefault="002C61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49454" w14:textId="77777777" w:rsidR="002C617D" w:rsidRDefault="002C61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7E53"/>
    <w:multiLevelType w:val="hybridMultilevel"/>
    <w:tmpl w:val="BBE8699C"/>
    <w:lvl w:ilvl="0" w:tplc="6F14B98E">
      <w:numFmt w:val="decimal"/>
      <w:lvlText w:val="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E375DC"/>
    <w:multiLevelType w:val="hybridMultilevel"/>
    <w:tmpl w:val="53288966"/>
    <w:lvl w:ilvl="0" w:tplc="9C0AB1D4">
      <w:start w:val="31"/>
      <w:numFmt w:val="bullet"/>
      <w:lvlText w:val="-"/>
      <w:lvlJc w:val="left"/>
      <w:pPr>
        <w:tabs>
          <w:tab w:val="num" w:pos="644"/>
        </w:tabs>
        <w:ind w:left="644" w:hanging="360"/>
      </w:pPr>
      <w:rPr>
        <w:rFonts w:ascii="Arial" w:eastAsia="Bliss 2 Regular" w:hAnsi="Arial" w:cs="Arial" w:hint="default"/>
        <w:color w:val="43579B"/>
      </w:rPr>
    </w:lvl>
    <w:lvl w:ilvl="1" w:tplc="FFFFFFFF">
      <w:start w:val="31"/>
      <w:numFmt w:val="bullet"/>
      <w:lvlText w:val="-"/>
      <w:lvlJc w:val="left"/>
      <w:pPr>
        <w:ind w:left="1724" w:hanging="360"/>
      </w:pPr>
      <w:rPr>
        <w:rFonts w:ascii="Arial" w:eastAsia="Bliss 2 Regular" w:hAnsi="Arial" w:cs="Arial"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2" w15:restartNumberingAfterBreak="0">
    <w:nsid w:val="07155D8A"/>
    <w:multiLevelType w:val="hybridMultilevel"/>
    <w:tmpl w:val="8D9036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0333FB"/>
    <w:multiLevelType w:val="hybridMultilevel"/>
    <w:tmpl w:val="040A4936"/>
    <w:lvl w:ilvl="0" w:tplc="3B84892E">
      <w:numFmt w:val="decimal"/>
      <w:lvlText w:val="1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AC2594C"/>
    <w:multiLevelType w:val="hybridMultilevel"/>
    <w:tmpl w:val="0C883662"/>
    <w:lvl w:ilvl="0" w:tplc="B60A304A">
      <w:numFmt w:val="decimal"/>
      <w:lvlText w:val="1.%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392C4F"/>
    <w:multiLevelType w:val="hybridMultilevel"/>
    <w:tmpl w:val="38E4F4CA"/>
    <w:lvl w:ilvl="0" w:tplc="08090001">
      <w:start w:val="1"/>
      <w:numFmt w:val="bullet"/>
      <w:pStyle w:val="ListNumber"/>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F446221"/>
    <w:multiLevelType w:val="hybridMultilevel"/>
    <w:tmpl w:val="D0BA021A"/>
    <w:lvl w:ilvl="0" w:tplc="E0FE0D16">
      <w:numFmt w:val="decimal"/>
      <w:lvlText w:val="8.%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DD19BF"/>
    <w:multiLevelType w:val="hybridMultilevel"/>
    <w:tmpl w:val="7E54F468"/>
    <w:lvl w:ilvl="0" w:tplc="8E92FEAA">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022F6C"/>
    <w:multiLevelType w:val="hybridMultilevel"/>
    <w:tmpl w:val="7FA0A4BC"/>
    <w:lvl w:ilvl="0" w:tplc="F5D2272A">
      <w:numFmt w:val="decimal"/>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470E69"/>
    <w:multiLevelType w:val="hybridMultilevel"/>
    <w:tmpl w:val="E85A6F96"/>
    <w:lvl w:ilvl="0" w:tplc="36FCECB2">
      <w:start w:val="1"/>
      <w:numFmt w:val="lowerRoman"/>
      <w:lvlText w:val="(%1)"/>
      <w:lvlJc w:val="left"/>
      <w:pPr>
        <w:ind w:left="1724" w:hanging="720"/>
      </w:pPr>
    </w:lvl>
    <w:lvl w:ilvl="1" w:tplc="08090019">
      <w:start w:val="1"/>
      <w:numFmt w:val="lowerLetter"/>
      <w:lvlText w:val="%2."/>
      <w:lvlJc w:val="left"/>
      <w:pPr>
        <w:ind w:left="2084" w:hanging="360"/>
      </w:pPr>
    </w:lvl>
    <w:lvl w:ilvl="2" w:tplc="0809001B">
      <w:start w:val="1"/>
      <w:numFmt w:val="lowerRoman"/>
      <w:lvlText w:val="%3."/>
      <w:lvlJc w:val="right"/>
      <w:pPr>
        <w:ind w:left="2804" w:hanging="180"/>
      </w:pPr>
    </w:lvl>
    <w:lvl w:ilvl="3" w:tplc="0809000F">
      <w:start w:val="1"/>
      <w:numFmt w:val="decimal"/>
      <w:lvlText w:val="%4."/>
      <w:lvlJc w:val="left"/>
      <w:pPr>
        <w:ind w:left="3524" w:hanging="360"/>
      </w:pPr>
    </w:lvl>
    <w:lvl w:ilvl="4" w:tplc="08090019">
      <w:start w:val="1"/>
      <w:numFmt w:val="lowerLetter"/>
      <w:lvlText w:val="%5."/>
      <w:lvlJc w:val="left"/>
      <w:pPr>
        <w:ind w:left="4244" w:hanging="360"/>
      </w:pPr>
    </w:lvl>
    <w:lvl w:ilvl="5" w:tplc="0809001B">
      <w:start w:val="1"/>
      <w:numFmt w:val="lowerRoman"/>
      <w:lvlText w:val="%6."/>
      <w:lvlJc w:val="right"/>
      <w:pPr>
        <w:ind w:left="4964" w:hanging="180"/>
      </w:pPr>
    </w:lvl>
    <w:lvl w:ilvl="6" w:tplc="0809000F">
      <w:start w:val="1"/>
      <w:numFmt w:val="decimal"/>
      <w:lvlText w:val="%7."/>
      <w:lvlJc w:val="left"/>
      <w:pPr>
        <w:ind w:left="5684" w:hanging="360"/>
      </w:pPr>
    </w:lvl>
    <w:lvl w:ilvl="7" w:tplc="08090019">
      <w:start w:val="1"/>
      <w:numFmt w:val="lowerLetter"/>
      <w:lvlText w:val="%8."/>
      <w:lvlJc w:val="left"/>
      <w:pPr>
        <w:ind w:left="6404" w:hanging="360"/>
      </w:pPr>
    </w:lvl>
    <w:lvl w:ilvl="8" w:tplc="0809001B">
      <w:start w:val="1"/>
      <w:numFmt w:val="lowerRoman"/>
      <w:lvlText w:val="%9."/>
      <w:lvlJc w:val="right"/>
      <w:pPr>
        <w:ind w:left="7124" w:hanging="180"/>
      </w:pPr>
    </w:lvl>
  </w:abstractNum>
  <w:abstractNum w:abstractNumId="10" w15:restartNumberingAfterBreak="0">
    <w:nsid w:val="229279C5"/>
    <w:multiLevelType w:val="hybridMultilevel"/>
    <w:tmpl w:val="959021C2"/>
    <w:lvl w:ilvl="0" w:tplc="671866BC">
      <w:start w:val="1"/>
      <w:numFmt w:val="bullet"/>
      <w:pStyle w:val="ListBullet"/>
      <w:lvlText w:val="•"/>
      <w:lvlJc w:val="left"/>
      <w:pPr>
        <w:tabs>
          <w:tab w:val="num" w:pos="360"/>
        </w:tabs>
        <w:ind w:left="360" w:hanging="360"/>
      </w:pPr>
      <w:rPr>
        <w:rFonts w:ascii="Arial" w:hAnsi="Aria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B03604"/>
    <w:multiLevelType w:val="hybridMultilevel"/>
    <w:tmpl w:val="22AC8BBE"/>
    <w:lvl w:ilvl="0" w:tplc="8DB25BB2">
      <w:numFmt w:val="bullet"/>
      <w:lvlText w:val="-"/>
      <w:lvlJc w:val="left"/>
      <w:pPr>
        <w:ind w:left="785" w:hanging="360"/>
      </w:pPr>
      <w:rPr>
        <w:rFonts w:ascii="Optima LT Std" w:eastAsiaTheme="minorHAnsi" w:hAnsi="Optima LT Std" w:cstheme="minorBidi"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2" w15:restartNumberingAfterBreak="0">
    <w:nsid w:val="28AA2D46"/>
    <w:multiLevelType w:val="multilevel"/>
    <w:tmpl w:val="BCFEEF08"/>
    <w:lvl w:ilvl="0">
      <w:start w:val="1"/>
      <w:numFmt w:val="decimal"/>
      <w:lvlText w:val="%1."/>
      <w:lvlJc w:val="left"/>
      <w:pPr>
        <w:tabs>
          <w:tab w:val="num" w:pos="1004"/>
        </w:tabs>
        <w:ind w:left="1004" w:hanging="720"/>
      </w:pPr>
      <w:rPr>
        <w:rFonts w:hint="default"/>
      </w:rPr>
    </w:lvl>
    <w:lvl w:ilvl="1">
      <w:start w:val="1"/>
      <w:numFmt w:val="decimal"/>
      <w:lvlText w:val="%2."/>
      <w:lvlJc w:val="left"/>
      <w:pPr>
        <w:tabs>
          <w:tab w:val="num" w:pos="1724"/>
        </w:tabs>
        <w:ind w:left="1724" w:hanging="720"/>
      </w:pPr>
      <w:rPr>
        <w:rFonts w:hint="default"/>
      </w:rPr>
    </w:lvl>
    <w:lvl w:ilvl="2">
      <w:start w:val="1"/>
      <w:numFmt w:val="decimal"/>
      <w:lvlText w:val="%3."/>
      <w:lvlJc w:val="left"/>
      <w:pPr>
        <w:tabs>
          <w:tab w:val="num" w:pos="2444"/>
        </w:tabs>
        <w:ind w:left="2444" w:hanging="720"/>
      </w:pPr>
      <w:rPr>
        <w:rFonts w:hint="default"/>
      </w:rPr>
    </w:lvl>
    <w:lvl w:ilvl="3">
      <w:start w:val="1"/>
      <w:numFmt w:val="decimal"/>
      <w:lvlText w:val="%4."/>
      <w:lvlJc w:val="left"/>
      <w:pPr>
        <w:tabs>
          <w:tab w:val="num" w:pos="3164"/>
        </w:tabs>
        <w:ind w:left="3164" w:hanging="720"/>
      </w:pPr>
      <w:rPr>
        <w:rFonts w:hint="default"/>
      </w:rPr>
    </w:lvl>
    <w:lvl w:ilvl="4">
      <w:start w:val="1"/>
      <w:numFmt w:val="decimal"/>
      <w:lvlText w:val="%5."/>
      <w:lvlJc w:val="left"/>
      <w:pPr>
        <w:tabs>
          <w:tab w:val="num" w:pos="3884"/>
        </w:tabs>
        <w:ind w:left="3884" w:hanging="720"/>
      </w:pPr>
      <w:rPr>
        <w:rFonts w:hint="default"/>
      </w:rPr>
    </w:lvl>
    <w:lvl w:ilvl="5">
      <w:start w:val="1"/>
      <w:numFmt w:val="decimal"/>
      <w:lvlText w:val="%6."/>
      <w:lvlJc w:val="left"/>
      <w:pPr>
        <w:tabs>
          <w:tab w:val="num" w:pos="4604"/>
        </w:tabs>
        <w:ind w:left="4604" w:hanging="720"/>
      </w:pPr>
      <w:rPr>
        <w:rFonts w:hint="default"/>
      </w:rPr>
    </w:lvl>
    <w:lvl w:ilvl="6">
      <w:start w:val="1"/>
      <w:numFmt w:val="decimal"/>
      <w:lvlText w:val="%7."/>
      <w:lvlJc w:val="left"/>
      <w:pPr>
        <w:tabs>
          <w:tab w:val="num" w:pos="5324"/>
        </w:tabs>
        <w:ind w:left="5324" w:hanging="720"/>
      </w:pPr>
      <w:rPr>
        <w:rFonts w:hint="default"/>
      </w:rPr>
    </w:lvl>
    <w:lvl w:ilvl="7">
      <w:start w:val="1"/>
      <w:numFmt w:val="decimal"/>
      <w:lvlText w:val="%8."/>
      <w:lvlJc w:val="left"/>
      <w:pPr>
        <w:tabs>
          <w:tab w:val="num" w:pos="6044"/>
        </w:tabs>
        <w:ind w:left="6044" w:hanging="720"/>
      </w:pPr>
      <w:rPr>
        <w:rFonts w:hint="default"/>
      </w:rPr>
    </w:lvl>
    <w:lvl w:ilvl="8">
      <w:start w:val="1"/>
      <w:numFmt w:val="decimal"/>
      <w:lvlText w:val="%9."/>
      <w:lvlJc w:val="left"/>
      <w:pPr>
        <w:tabs>
          <w:tab w:val="num" w:pos="6764"/>
        </w:tabs>
        <w:ind w:left="6764" w:hanging="720"/>
      </w:pPr>
      <w:rPr>
        <w:rFonts w:hint="default"/>
      </w:rPr>
    </w:lvl>
  </w:abstractNum>
  <w:abstractNum w:abstractNumId="13" w15:restartNumberingAfterBreak="0">
    <w:nsid w:val="297F1B9A"/>
    <w:multiLevelType w:val="hybridMultilevel"/>
    <w:tmpl w:val="244E1C44"/>
    <w:lvl w:ilvl="0" w:tplc="B094A13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20097F"/>
    <w:multiLevelType w:val="multilevel"/>
    <w:tmpl w:val="0CBE0F68"/>
    <w:lvl w:ilvl="0">
      <w:start w:val="1"/>
      <w:numFmt w:val="decimal"/>
      <w:pStyle w:val="ChapterHeading"/>
      <w:lvlText w:val="%1."/>
      <w:lvlJc w:val="left"/>
      <w:pPr>
        <w:tabs>
          <w:tab w:val="num" w:pos="720"/>
        </w:tabs>
        <w:ind w:left="720" w:hanging="720"/>
      </w:pPr>
    </w:lvl>
    <w:lvl w:ilvl="1">
      <w:start w:val="1"/>
      <w:numFmt w:val="decimal"/>
      <w:pStyle w:val="Subheading"/>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49B6E7C"/>
    <w:multiLevelType w:val="hybridMultilevel"/>
    <w:tmpl w:val="F27E6790"/>
    <w:lvl w:ilvl="0" w:tplc="729C63F6">
      <w:numFmt w:val="decimal"/>
      <w:lvlText w:val="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CF1930"/>
    <w:multiLevelType w:val="hybridMultilevel"/>
    <w:tmpl w:val="05246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940CCE"/>
    <w:multiLevelType w:val="hybridMultilevel"/>
    <w:tmpl w:val="B504ED3E"/>
    <w:lvl w:ilvl="0" w:tplc="421A636A">
      <w:numFmt w:val="decimal"/>
      <w:lvlText w:val="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515116"/>
    <w:multiLevelType w:val="hybridMultilevel"/>
    <w:tmpl w:val="A148BA18"/>
    <w:lvl w:ilvl="0" w:tplc="5C220406">
      <w:numFmt w:val="decimal"/>
      <w:lvlText w:val="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733EF1"/>
    <w:multiLevelType w:val="hybridMultilevel"/>
    <w:tmpl w:val="00983CD8"/>
    <w:lvl w:ilvl="0" w:tplc="436E6242">
      <w:start w:val="1"/>
      <w:numFmt w:val="upperLetter"/>
      <w:pStyle w:val="StyleListParagraphLatinFoundryFormSans14ptBoldBef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160B66"/>
    <w:multiLevelType w:val="multilevel"/>
    <w:tmpl w:val="BCFEEF08"/>
    <w:lvl w:ilvl="0">
      <w:start w:val="1"/>
      <w:numFmt w:val="decimal"/>
      <w:lvlText w:val="%1."/>
      <w:lvlJc w:val="left"/>
      <w:pPr>
        <w:tabs>
          <w:tab w:val="num" w:pos="1004"/>
        </w:tabs>
        <w:ind w:left="1004" w:hanging="720"/>
      </w:pPr>
      <w:rPr>
        <w:rFonts w:hint="default"/>
      </w:rPr>
    </w:lvl>
    <w:lvl w:ilvl="1">
      <w:start w:val="1"/>
      <w:numFmt w:val="decimal"/>
      <w:lvlText w:val="%2."/>
      <w:lvlJc w:val="left"/>
      <w:pPr>
        <w:tabs>
          <w:tab w:val="num" w:pos="1724"/>
        </w:tabs>
        <w:ind w:left="1724" w:hanging="720"/>
      </w:pPr>
      <w:rPr>
        <w:rFonts w:hint="default"/>
      </w:rPr>
    </w:lvl>
    <w:lvl w:ilvl="2">
      <w:start w:val="1"/>
      <w:numFmt w:val="decimal"/>
      <w:lvlText w:val="%3."/>
      <w:lvlJc w:val="left"/>
      <w:pPr>
        <w:tabs>
          <w:tab w:val="num" w:pos="2444"/>
        </w:tabs>
        <w:ind w:left="2444" w:hanging="720"/>
      </w:pPr>
      <w:rPr>
        <w:rFonts w:hint="default"/>
      </w:rPr>
    </w:lvl>
    <w:lvl w:ilvl="3">
      <w:start w:val="1"/>
      <w:numFmt w:val="decimal"/>
      <w:lvlText w:val="%4."/>
      <w:lvlJc w:val="left"/>
      <w:pPr>
        <w:tabs>
          <w:tab w:val="num" w:pos="3164"/>
        </w:tabs>
        <w:ind w:left="3164" w:hanging="720"/>
      </w:pPr>
      <w:rPr>
        <w:rFonts w:hint="default"/>
      </w:rPr>
    </w:lvl>
    <w:lvl w:ilvl="4">
      <w:start w:val="1"/>
      <w:numFmt w:val="decimal"/>
      <w:lvlText w:val="%5."/>
      <w:lvlJc w:val="left"/>
      <w:pPr>
        <w:tabs>
          <w:tab w:val="num" w:pos="3884"/>
        </w:tabs>
        <w:ind w:left="3884" w:hanging="720"/>
      </w:pPr>
      <w:rPr>
        <w:rFonts w:hint="default"/>
      </w:rPr>
    </w:lvl>
    <w:lvl w:ilvl="5">
      <w:start w:val="1"/>
      <w:numFmt w:val="decimal"/>
      <w:lvlText w:val="%6."/>
      <w:lvlJc w:val="left"/>
      <w:pPr>
        <w:tabs>
          <w:tab w:val="num" w:pos="4604"/>
        </w:tabs>
        <w:ind w:left="4604" w:hanging="720"/>
      </w:pPr>
      <w:rPr>
        <w:rFonts w:hint="default"/>
      </w:rPr>
    </w:lvl>
    <w:lvl w:ilvl="6">
      <w:start w:val="1"/>
      <w:numFmt w:val="decimal"/>
      <w:lvlText w:val="%7."/>
      <w:lvlJc w:val="left"/>
      <w:pPr>
        <w:tabs>
          <w:tab w:val="num" w:pos="5324"/>
        </w:tabs>
        <w:ind w:left="5324" w:hanging="720"/>
      </w:pPr>
      <w:rPr>
        <w:rFonts w:hint="default"/>
      </w:rPr>
    </w:lvl>
    <w:lvl w:ilvl="7">
      <w:start w:val="1"/>
      <w:numFmt w:val="decimal"/>
      <w:lvlText w:val="%8."/>
      <w:lvlJc w:val="left"/>
      <w:pPr>
        <w:tabs>
          <w:tab w:val="num" w:pos="6044"/>
        </w:tabs>
        <w:ind w:left="6044" w:hanging="720"/>
      </w:pPr>
      <w:rPr>
        <w:rFonts w:hint="default"/>
      </w:rPr>
    </w:lvl>
    <w:lvl w:ilvl="8">
      <w:start w:val="1"/>
      <w:numFmt w:val="decimal"/>
      <w:lvlText w:val="%9."/>
      <w:lvlJc w:val="left"/>
      <w:pPr>
        <w:tabs>
          <w:tab w:val="num" w:pos="6764"/>
        </w:tabs>
        <w:ind w:left="6764" w:hanging="720"/>
      </w:pPr>
      <w:rPr>
        <w:rFonts w:hint="default"/>
      </w:rPr>
    </w:lvl>
  </w:abstractNum>
  <w:abstractNum w:abstractNumId="21" w15:restartNumberingAfterBreak="0">
    <w:nsid w:val="4BF06960"/>
    <w:multiLevelType w:val="multilevel"/>
    <w:tmpl w:val="BCFEEF08"/>
    <w:lvl w:ilvl="0">
      <w:start w:val="1"/>
      <w:numFmt w:val="decimal"/>
      <w:lvlText w:val="%1."/>
      <w:lvlJc w:val="left"/>
      <w:pPr>
        <w:tabs>
          <w:tab w:val="num" w:pos="1004"/>
        </w:tabs>
        <w:ind w:left="1004" w:hanging="720"/>
      </w:pPr>
      <w:rPr>
        <w:rFonts w:hint="default"/>
      </w:rPr>
    </w:lvl>
    <w:lvl w:ilvl="1">
      <w:start w:val="1"/>
      <w:numFmt w:val="decimal"/>
      <w:lvlText w:val="%2."/>
      <w:lvlJc w:val="left"/>
      <w:pPr>
        <w:tabs>
          <w:tab w:val="num" w:pos="1724"/>
        </w:tabs>
        <w:ind w:left="1724" w:hanging="720"/>
      </w:pPr>
      <w:rPr>
        <w:rFonts w:hint="default"/>
      </w:rPr>
    </w:lvl>
    <w:lvl w:ilvl="2">
      <w:start w:val="1"/>
      <w:numFmt w:val="decimal"/>
      <w:lvlText w:val="%3."/>
      <w:lvlJc w:val="left"/>
      <w:pPr>
        <w:tabs>
          <w:tab w:val="num" w:pos="2444"/>
        </w:tabs>
        <w:ind w:left="2444" w:hanging="720"/>
      </w:pPr>
      <w:rPr>
        <w:rFonts w:hint="default"/>
      </w:rPr>
    </w:lvl>
    <w:lvl w:ilvl="3">
      <w:start w:val="1"/>
      <w:numFmt w:val="decimal"/>
      <w:lvlText w:val="%4."/>
      <w:lvlJc w:val="left"/>
      <w:pPr>
        <w:tabs>
          <w:tab w:val="num" w:pos="3164"/>
        </w:tabs>
        <w:ind w:left="3164" w:hanging="720"/>
      </w:pPr>
      <w:rPr>
        <w:rFonts w:hint="default"/>
      </w:rPr>
    </w:lvl>
    <w:lvl w:ilvl="4">
      <w:start w:val="1"/>
      <w:numFmt w:val="decimal"/>
      <w:lvlText w:val="%5."/>
      <w:lvlJc w:val="left"/>
      <w:pPr>
        <w:tabs>
          <w:tab w:val="num" w:pos="3884"/>
        </w:tabs>
        <w:ind w:left="3884" w:hanging="720"/>
      </w:pPr>
      <w:rPr>
        <w:rFonts w:hint="default"/>
      </w:rPr>
    </w:lvl>
    <w:lvl w:ilvl="5">
      <w:start w:val="1"/>
      <w:numFmt w:val="decimal"/>
      <w:lvlText w:val="%6."/>
      <w:lvlJc w:val="left"/>
      <w:pPr>
        <w:tabs>
          <w:tab w:val="num" w:pos="4604"/>
        </w:tabs>
        <w:ind w:left="4604" w:hanging="720"/>
      </w:pPr>
      <w:rPr>
        <w:rFonts w:hint="default"/>
      </w:rPr>
    </w:lvl>
    <w:lvl w:ilvl="6">
      <w:start w:val="1"/>
      <w:numFmt w:val="decimal"/>
      <w:lvlText w:val="%7."/>
      <w:lvlJc w:val="left"/>
      <w:pPr>
        <w:tabs>
          <w:tab w:val="num" w:pos="5324"/>
        </w:tabs>
        <w:ind w:left="5324" w:hanging="720"/>
      </w:pPr>
      <w:rPr>
        <w:rFonts w:hint="default"/>
      </w:rPr>
    </w:lvl>
    <w:lvl w:ilvl="7">
      <w:start w:val="1"/>
      <w:numFmt w:val="decimal"/>
      <w:lvlText w:val="%8."/>
      <w:lvlJc w:val="left"/>
      <w:pPr>
        <w:tabs>
          <w:tab w:val="num" w:pos="6044"/>
        </w:tabs>
        <w:ind w:left="6044" w:hanging="720"/>
      </w:pPr>
      <w:rPr>
        <w:rFonts w:hint="default"/>
      </w:rPr>
    </w:lvl>
    <w:lvl w:ilvl="8">
      <w:start w:val="1"/>
      <w:numFmt w:val="decimal"/>
      <w:lvlText w:val="%9."/>
      <w:lvlJc w:val="left"/>
      <w:pPr>
        <w:tabs>
          <w:tab w:val="num" w:pos="6764"/>
        </w:tabs>
        <w:ind w:left="6764" w:hanging="720"/>
      </w:pPr>
      <w:rPr>
        <w:rFonts w:hint="default"/>
      </w:rPr>
    </w:lvl>
  </w:abstractNum>
  <w:abstractNum w:abstractNumId="22" w15:restartNumberingAfterBreak="0">
    <w:nsid w:val="513345BA"/>
    <w:multiLevelType w:val="hybridMultilevel"/>
    <w:tmpl w:val="6A628A70"/>
    <w:lvl w:ilvl="0" w:tplc="85F6B5EA">
      <w:numFmt w:val="decimal"/>
      <w:lvlText w:val="2.%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0B0489"/>
    <w:multiLevelType w:val="hybridMultilevel"/>
    <w:tmpl w:val="34F64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D417C6"/>
    <w:multiLevelType w:val="multilevel"/>
    <w:tmpl w:val="73065276"/>
    <w:lvl w:ilvl="0">
      <w:start w:val="1"/>
      <w:numFmt w:val="decimal"/>
      <w:lvlText w:val="%1."/>
      <w:lvlJc w:val="left"/>
      <w:pPr>
        <w:tabs>
          <w:tab w:val="num" w:pos="1004"/>
        </w:tabs>
        <w:ind w:left="1004" w:hanging="720"/>
      </w:pPr>
    </w:lvl>
    <w:lvl w:ilvl="1">
      <w:start w:val="1"/>
      <w:numFmt w:val="decimal"/>
      <w:lvlText w:val="%2."/>
      <w:lvlJc w:val="left"/>
      <w:pPr>
        <w:tabs>
          <w:tab w:val="num" w:pos="1724"/>
        </w:tabs>
        <w:ind w:left="1724" w:hanging="720"/>
      </w:pPr>
    </w:lvl>
    <w:lvl w:ilvl="2">
      <w:start w:val="1"/>
      <w:numFmt w:val="decimal"/>
      <w:lvlText w:val="%3."/>
      <w:lvlJc w:val="left"/>
      <w:pPr>
        <w:tabs>
          <w:tab w:val="num" w:pos="2444"/>
        </w:tabs>
        <w:ind w:left="2444" w:hanging="720"/>
      </w:pPr>
    </w:lvl>
    <w:lvl w:ilvl="3">
      <w:start w:val="1"/>
      <w:numFmt w:val="decimal"/>
      <w:lvlText w:val="%4."/>
      <w:lvlJc w:val="left"/>
      <w:pPr>
        <w:tabs>
          <w:tab w:val="num" w:pos="3164"/>
        </w:tabs>
        <w:ind w:left="3164" w:hanging="720"/>
      </w:pPr>
    </w:lvl>
    <w:lvl w:ilvl="4">
      <w:start w:val="1"/>
      <w:numFmt w:val="decimal"/>
      <w:lvlText w:val="%5."/>
      <w:lvlJc w:val="left"/>
      <w:pPr>
        <w:tabs>
          <w:tab w:val="num" w:pos="3884"/>
        </w:tabs>
        <w:ind w:left="3884" w:hanging="720"/>
      </w:pPr>
    </w:lvl>
    <w:lvl w:ilvl="5">
      <w:start w:val="1"/>
      <w:numFmt w:val="decimal"/>
      <w:lvlText w:val="%6."/>
      <w:lvlJc w:val="left"/>
      <w:pPr>
        <w:tabs>
          <w:tab w:val="num" w:pos="4604"/>
        </w:tabs>
        <w:ind w:left="4604" w:hanging="720"/>
      </w:pPr>
    </w:lvl>
    <w:lvl w:ilvl="6">
      <w:start w:val="1"/>
      <w:numFmt w:val="decimal"/>
      <w:lvlText w:val="%7."/>
      <w:lvlJc w:val="left"/>
      <w:pPr>
        <w:tabs>
          <w:tab w:val="num" w:pos="5324"/>
        </w:tabs>
        <w:ind w:left="5324" w:hanging="720"/>
      </w:pPr>
    </w:lvl>
    <w:lvl w:ilvl="7">
      <w:start w:val="1"/>
      <w:numFmt w:val="decimal"/>
      <w:lvlText w:val="%8."/>
      <w:lvlJc w:val="left"/>
      <w:pPr>
        <w:tabs>
          <w:tab w:val="num" w:pos="6044"/>
        </w:tabs>
        <w:ind w:left="6044" w:hanging="720"/>
      </w:pPr>
    </w:lvl>
    <w:lvl w:ilvl="8">
      <w:start w:val="1"/>
      <w:numFmt w:val="decimal"/>
      <w:lvlText w:val="%9."/>
      <w:lvlJc w:val="left"/>
      <w:pPr>
        <w:tabs>
          <w:tab w:val="num" w:pos="6764"/>
        </w:tabs>
        <w:ind w:left="6764" w:hanging="720"/>
      </w:pPr>
    </w:lvl>
  </w:abstractNum>
  <w:abstractNum w:abstractNumId="25" w15:restartNumberingAfterBreak="0">
    <w:nsid w:val="600A3A8C"/>
    <w:multiLevelType w:val="multilevel"/>
    <w:tmpl w:val="BCFEEF08"/>
    <w:lvl w:ilvl="0">
      <w:start w:val="1"/>
      <w:numFmt w:val="decimal"/>
      <w:lvlText w:val="%1."/>
      <w:lvlJc w:val="left"/>
      <w:pPr>
        <w:tabs>
          <w:tab w:val="num" w:pos="1004"/>
        </w:tabs>
        <w:ind w:left="1004" w:hanging="720"/>
      </w:pPr>
      <w:rPr>
        <w:rFonts w:hint="default"/>
      </w:rPr>
    </w:lvl>
    <w:lvl w:ilvl="1">
      <w:start w:val="1"/>
      <w:numFmt w:val="decimal"/>
      <w:lvlText w:val="%2."/>
      <w:lvlJc w:val="left"/>
      <w:pPr>
        <w:tabs>
          <w:tab w:val="num" w:pos="1724"/>
        </w:tabs>
        <w:ind w:left="1724" w:hanging="720"/>
      </w:pPr>
      <w:rPr>
        <w:rFonts w:hint="default"/>
      </w:rPr>
    </w:lvl>
    <w:lvl w:ilvl="2">
      <w:start w:val="1"/>
      <w:numFmt w:val="decimal"/>
      <w:lvlText w:val="%3."/>
      <w:lvlJc w:val="left"/>
      <w:pPr>
        <w:tabs>
          <w:tab w:val="num" w:pos="2444"/>
        </w:tabs>
        <w:ind w:left="2444" w:hanging="720"/>
      </w:pPr>
      <w:rPr>
        <w:rFonts w:hint="default"/>
      </w:rPr>
    </w:lvl>
    <w:lvl w:ilvl="3">
      <w:start w:val="1"/>
      <w:numFmt w:val="decimal"/>
      <w:lvlText w:val="%4."/>
      <w:lvlJc w:val="left"/>
      <w:pPr>
        <w:tabs>
          <w:tab w:val="num" w:pos="3164"/>
        </w:tabs>
        <w:ind w:left="3164" w:hanging="720"/>
      </w:pPr>
      <w:rPr>
        <w:rFonts w:hint="default"/>
      </w:rPr>
    </w:lvl>
    <w:lvl w:ilvl="4">
      <w:start w:val="1"/>
      <w:numFmt w:val="decimal"/>
      <w:lvlText w:val="%5."/>
      <w:lvlJc w:val="left"/>
      <w:pPr>
        <w:tabs>
          <w:tab w:val="num" w:pos="3884"/>
        </w:tabs>
        <w:ind w:left="3884" w:hanging="720"/>
      </w:pPr>
      <w:rPr>
        <w:rFonts w:hint="default"/>
      </w:rPr>
    </w:lvl>
    <w:lvl w:ilvl="5">
      <w:start w:val="1"/>
      <w:numFmt w:val="decimal"/>
      <w:lvlText w:val="%6."/>
      <w:lvlJc w:val="left"/>
      <w:pPr>
        <w:tabs>
          <w:tab w:val="num" w:pos="4604"/>
        </w:tabs>
        <w:ind w:left="4604" w:hanging="720"/>
      </w:pPr>
      <w:rPr>
        <w:rFonts w:hint="default"/>
      </w:rPr>
    </w:lvl>
    <w:lvl w:ilvl="6">
      <w:start w:val="1"/>
      <w:numFmt w:val="decimal"/>
      <w:lvlText w:val="%7."/>
      <w:lvlJc w:val="left"/>
      <w:pPr>
        <w:tabs>
          <w:tab w:val="num" w:pos="5324"/>
        </w:tabs>
        <w:ind w:left="5324" w:hanging="720"/>
      </w:pPr>
      <w:rPr>
        <w:rFonts w:hint="default"/>
      </w:rPr>
    </w:lvl>
    <w:lvl w:ilvl="7">
      <w:start w:val="1"/>
      <w:numFmt w:val="decimal"/>
      <w:lvlText w:val="%8."/>
      <w:lvlJc w:val="left"/>
      <w:pPr>
        <w:tabs>
          <w:tab w:val="num" w:pos="6044"/>
        </w:tabs>
        <w:ind w:left="6044" w:hanging="720"/>
      </w:pPr>
      <w:rPr>
        <w:rFonts w:hint="default"/>
      </w:rPr>
    </w:lvl>
    <w:lvl w:ilvl="8">
      <w:start w:val="1"/>
      <w:numFmt w:val="decimal"/>
      <w:lvlText w:val="%9."/>
      <w:lvlJc w:val="left"/>
      <w:pPr>
        <w:tabs>
          <w:tab w:val="num" w:pos="6764"/>
        </w:tabs>
        <w:ind w:left="6764" w:hanging="720"/>
      </w:pPr>
      <w:rPr>
        <w:rFonts w:hint="default"/>
      </w:rPr>
    </w:lvl>
  </w:abstractNum>
  <w:abstractNum w:abstractNumId="26" w15:restartNumberingAfterBreak="0">
    <w:nsid w:val="6F1E1C57"/>
    <w:multiLevelType w:val="hybridMultilevel"/>
    <w:tmpl w:val="B3BE1034"/>
    <w:lvl w:ilvl="0" w:tplc="CB2ABCC6">
      <w:numFmt w:val="decimal"/>
      <w:lvlText w:val="10.%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0A52A7F"/>
    <w:multiLevelType w:val="hybridMultilevel"/>
    <w:tmpl w:val="9AD43D48"/>
    <w:lvl w:ilvl="0" w:tplc="FFFFFFFF">
      <w:start w:val="31"/>
      <w:numFmt w:val="bullet"/>
      <w:lvlText w:val="-"/>
      <w:lvlJc w:val="left"/>
      <w:pPr>
        <w:ind w:left="720" w:hanging="360"/>
      </w:pPr>
      <w:rPr>
        <w:rFonts w:ascii="Arial" w:eastAsia="Bliss 2 Regular" w:hAnsi="Arial" w:cs="Arial" w:hint="default"/>
      </w:rPr>
    </w:lvl>
    <w:lvl w:ilvl="1" w:tplc="9C0AB1D4">
      <w:start w:val="31"/>
      <w:numFmt w:val="bullet"/>
      <w:lvlText w:val="-"/>
      <w:lvlJc w:val="left"/>
      <w:pPr>
        <w:ind w:left="644" w:hanging="360"/>
      </w:pPr>
      <w:rPr>
        <w:rFonts w:ascii="Arial" w:eastAsia="Bliss 2 Regular" w:hAnsi="Arial" w:cs="Aria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5284A2F"/>
    <w:multiLevelType w:val="multilevel"/>
    <w:tmpl w:val="BCFEEF08"/>
    <w:lvl w:ilvl="0">
      <w:start w:val="1"/>
      <w:numFmt w:val="decimal"/>
      <w:lvlText w:val="%1."/>
      <w:lvlJc w:val="left"/>
      <w:pPr>
        <w:tabs>
          <w:tab w:val="num" w:pos="1004"/>
        </w:tabs>
        <w:ind w:left="1004" w:hanging="720"/>
      </w:pPr>
      <w:rPr>
        <w:rFonts w:hint="default"/>
      </w:rPr>
    </w:lvl>
    <w:lvl w:ilvl="1">
      <w:start w:val="1"/>
      <w:numFmt w:val="decimal"/>
      <w:lvlText w:val="%2."/>
      <w:lvlJc w:val="left"/>
      <w:pPr>
        <w:tabs>
          <w:tab w:val="num" w:pos="1724"/>
        </w:tabs>
        <w:ind w:left="1724" w:hanging="720"/>
      </w:pPr>
      <w:rPr>
        <w:rFonts w:hint="default"/>
      </w:rPr>
    </w:lvl>
    <w:lvl w:ilvl="2">
      <w:start w:val="1"/>
      <w:numFmt w:val="decimal"/>
      <w:lvlText w:val="%3."/>
      <w:lvlJc w:val="left"/>
      <w:pPr>
        <w:tabs>
          <w:tab w:val="num" w:pos="2444"/>
        </w:tabs>
        <w:ind w:left="2444" w:hanging="720"/>
      </w:pPr>
      <w:rPr>
        <w:rFonts w:hint="default"/>
      </w:rPr>
    </w:lvl>
    <w:lvl w:ilvl="3">
      <w:start w:val="1"/>
      <w:numFmt w:val="decimal"/>
      <w:lvlText w:val="%4."/>
      <w:lvlJc w:val="left"/>
      <w:pPr>
        <w:tabs>
          <w:tab w:val="num" w:pos="3164"/>
        </w:tabs>
        <w:ind w:left="3164" w:hanging="720"/>
      </w:pPr>
      <w:rPr>
        <w:rFonts w:hint="default"/>
      </w:rPr>
    </w:lvl>
    <w:lvl w:ilvl="4">
      <w:start w:val="1"/>
      <w:numFmt w:val="decimal"/>
      <w:lvlText w:val="%5."/>
      <w:lvlJc w:val="left"/>
      <w:pPr>
        <w:tabs>
          <w:tab w:val="num" w:pos="3884"/>
        </w:tabs>
        <w:ind w:left="3884" w:hanging="720"/>
      </w:pPr>
      <w:rPr>
        <w:rFonts w:hint="default"/>
      </w:rPr>
    </w:lvl>
    <w:lvl w:ilvl="5">
      <w:start w:val="1"/>
      <w:numFmt w:val="decimal"/>
      <w:lvlText w:val="%6."/>
      <w:lvlJc w:val="left"/>
      <w:pPr>
        <w:tabs>
          <w:tab w:val="num" w:pos="4604"/>
        </w:tabs>
        <w:ind w:left="4604" w:hanging="720"/>
      </w:pPr>
      <w:rPr>
        <w:rFonts w:hint="default"/>
      </w:rPr>
    </w:lvl>
    <w:lvl w:ilvl="6">
      <w:start w:val="1"/>
      <w:numFmt w:val="decimal"/>
      <w:lvlText w:val="%7."/>
      <w:lvlJc w:val="left"/>
      <w:pPr>
        <w:tabs>
          <w:tab w:val="num" w:pos="5324"/>
        </w:tabs>
        <w:ind w:left="5324" w:hanging="720"/>
      </w:pPr>
      <w:rPr>
        <w:rFonts w:hint="default"/>
      </w:rPr>
    </w:lvl>
    <w:lvl w:ilvl="7">
      <w:start w:val="1"/>
      <w:numFmt w:val="decimal"/>
      <w:lvlText w:val="%8."/>
      <w:lvlJc w:val="left"/>
      <w:pPr>
        <w:tabs>
          <w:tab w:val="num" w:pos="6044"/>
        </w:tabs>
        <w:ind w:left="6044" w:hanging="720"/>
      </w:pPr>
      <w:rPr>
        <w:rFonts w:hint="default"/>
      </w:rPr>
    </w:lvl>
    <w:lvl w:ilvl="8">
      <w:start w:val="1"/>
      <w:numFmt w:val="decimal"/>
      <w:lvlText w:val="%9."/>
      <w:lvlJc w:val="left"/>
      <w:pPr>
        <w:tabs>
          <w:tab w:val="num" w:pos="6764"/>
        </w:tabs>
        <w:ind w:left="6764" w:hanging="720"/>
      </w:pPr>
      <w:rPr>
        <w:rFonts w:hint="default"/>
      </w:rPr>
    </w:lvl>
  </w:abstractNum>
  <w:abstractNum w:abstractNumId="29" w15:restartNumberingAfterBreak="0">
    <w:nsid w:val="7765292E"/>
    <w:multiLevelType w:val="hybridMultilevel"/>
    <w:tmpl w:val="66982CD0"/>
    <w:lvl w:ilvl="0" w:tplc="85E4E0E6">
      <w:numFmt w:val="decimal"/>
      <w:lvlText w:val="3.%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AB01337"/>
    <w:multiLevelType w:val="hybridMultilevel"/>
    <w:tmpl w:val="C1B6E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6734472">
    <w:abstractNumId w:val="10"/>
  </w:num>
  <w:num w:numId="2" w16cid:durableId="552304120">
    <w:abstractNumId w:val="19"/>
  </w:num>
  <w:num w:numId="3" w16cid:durableId="1576434424">
    <w:abstractNumId w:val="5"/>
  </w:num>
  <w:num w:numId="4" w16cid:durableId="1444231476">
    <w:abstractNumId w:val="4"/>
  </w:num>
  <w:num w:numId="5" w16cid:durableId="769278100">
    <w:abstractNumId w:val="14"/>
  </w:num>
  <w:num w:numId="6" w16cid:durableId="144260266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4468467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733239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132120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772460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83972171">
    <w:abstractNumId w:val="2"/>
  </w:num>
  <w:num w:numId="12" w16cid:durableId="77648977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68524863">
    <w:abstractNumId w:val="22"/>
  </w:num>
  <w:num w:numId="14" w16cid:durableId="858079916">
    <w:abstractNumId w:val="29"/>
  </w:num>
  <w:num w:numId="15" w16cid:durableId="1956670611">
    <w:abstractNumId w:val="7"/>
  </w:num>
  <w:num w:numId="16" w16cid:durableId="1339891631">
    <w:abstractNumId w:val="1"/>
  </w:num>
  <w:num w:numId="17" w16cid:durableId="342125029">
    <w:abstractNumId w:val="18"/>
  </w:num>
  <w:num w:numId="18" w16cid:durableId="633412580">
    <w:abstractNumId w:val="17"/>
  </w:num>
  <w:num w:numId="19" w16cid:durableId="1687444105">
    <w:abstractNumId w:val="0"/>
  </w:num>
  <w:num w:numId="20" w16cid:durableId="1712414486">
    <w:abstractNumId w:val="6"/>
  </w:num>
  <w:num w:numId="21" w16cid:durableId="1403677273">
    <w:abstractNumId w:val="15"/>
  </w:num>
  <w:num w:numId="22" w16cid:durableId="187723445">
    <w:abstractNumId w:val="26"/>
  </w:num>
  <w:num w:numId="23" w16cid:durableId="1688753588">
    <w:abstractNumId w:val="8"/>
  </w:num>
  <w:num w:numId="24" w16cid:durableId="331879097">
    <w:abstractNumId w:val="3"/>
  </w:num>
  <w:num w:numId="25" w16cid:durableId="387647993">
    <w:abstractNumId w:val="27"/>
  </w:num>
  <w:num w:numId="26" w16cid:durableId="986906736">
    <w:abstractNumId w:val="30"/>
  </w:num>
  <w:num w:numId="27" w16cid:durableId="1116169697">
    <w:abstractNumId w:val="16"/>
  </w:num>
  <w:num w:numId="28" w16cid:durableId="209417759">
    <w:abstractNumId w:val="11"/>
  </w:num>
  <w:num w:numId="29" w16cid:durableId="1579513181">
    <w:abstractNumId w:val="23"/>
  </w:num>
  <w:num w:numId="30" w16cid:durableId="1025401315">
    <w:abstractNumId w:val="13"/>
  </w:num>
  <w:num w:numId="31" w16cid:durableId="2806908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91506917">
    <w:abstractNumId w:val="21"/>
  </w:num>
  <w:num w:numId="33" w16cid:durableId="1136484125">
    <w:abstractNumId w:val="25"/>
  </w:num>
  <w:num w:numId="34" w16cid:durableId="1059481058">
    <w:abstractNumId w:val="28"/>
  </w:num>
  <w:num w:numId="35" w16cid:durableId="138771114">
    <w:abstractNumId w:val="20"/>
  </w:num>
  <w:num w:numId="36" w16cid:durableId="246772098">
    <w:abstractNumId w:val="12"/>
  </w:num>
  <w:num w:numId="37" w16cid:durableId="19698950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2234609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5264659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5567029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021430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159618843">
    <w:abstractNumId w:val="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89B"/>
    <w:rsid w:val="00023027"/>
    <w:rsid w:val="000241D4"/>
    <w:rsid w:val="00024543"/>
    <w:rsid w:val="0004029A"/>
    <w:rsid w:val="000474E3"/>
    <w:rsid w:val="0006034E"/>
    <w:rsid w:val="00063783"/>
    <w:rsid w:val="00065B62"/>
    <w:rsid w:val="00071FC1"/>
    <w:rsid w:val="00073765"/>
    <w:rsid w:val="00074419"/>
    <w:rsid w:val="00086F0C"/>
    <w:rsid w:val="000929A6"/>
    <w:rsid w:val="00093DF9"/>
    <w:rsid w:val="00095FA1"/>
    <w:rsid w:val="00096E1F"/>
    <w:rsid w:val="000A0070"/>
    <w:rsid w:val="000B1256"/>
    <w:rsid w:val="000B1AA0"/>
    <w:rsid w:val="000B5015"/>
    <w:rsid w:val="000B788F"/>
    <w:rsid w:val="000B7C66"/>
    <w:rsid w:val="000D4E36"/>
    <w:rsid w:val="000E0C4A"/>
    <w:rsid w:val="000E4F6B"/>
    <w:rsid w:val="000E62FE"/>
    <w:rsid w:val="00101D55"/>
    <w:rsid w:val="0010208A"/>
    <w:rsid w:val="00103408"/>
    <w:rsid w:val="00105B8A"/>
    <w:rsid w:val="001161E4"/>
    <w:rsid w:val="00120571"/>
    <w:rsid w:val="00120B08"/>
    <w:rsid w:val="001210A1"/>
    <w:rsid w:val="00122B9A"/>
    <w:rsid w:val="001249C1"/>
    <w:rsid w:val="00125A26"/>
    <w:rsid w:val="00136B10"/>
    <w:rsid w:val="00145584"/>
    <w:rsid w:val="001472A8"/>
    <w:rsid w:val="0015376F"/>
    <w:rsid w:val="001577A6"/>
    <w:rsid w:val="00157A61"/>
    <w:rsid w:val="001614E0"/>
    <w:rsid w:val="00161B54"/>
    <w:rsid w:val="00171BD8"/>
    <w:rsid w:val="0017653E"/>
    <w:rsid w:val="00182B01"/>
    <w:rsid w:val="001840D2"/>
    <w:rsid w:val="001918A4"/>
    <w:rsid w:val="0019453A"/>
    <w:rsid w:val="001966D7"/>
    <w:rsid w:val="001A0777"/>
    <w:rsid w:val="001A34F8"/>
    <w:rsid w:val="001C03BC"/>
    <w:rsid w:val="001C0DA1"/>
    <w:rsid w:val="001C1084"/>
    <w:rsid w:val="001C18A1"/>
    <w:rsid w:val="001C29E1"/>
    <w:rsid w:val="001C4D2E"/>
    <w:rsid w:val="001C7E35"/>
    <w:rsid w:val="001D183E"/>
    <w:rsid w:val="001D3CA8"/>
    <w:rsid w:val="001E32FA"/>
    <w:rsid w:val="001E3C06"/>
    <w:rsid w:val="001E55C6"/>
    <w:rsid w:val="001F0037"/>
    <w:rsid w:val="001F0BE9"/>
    <w:rsid w:val="001F2235"/>
    <w:rsid w:val="001F520D"/>
    <w:rsid w:val="00202D79"/>
    <w:rsid w:val="00205D2F"/>
    <w:rsid w:val="00215E8F"/>
    <w:rsid w:val="00221A93"/>
    <w:rsid w:val="002322BB"/>
    <w:rsid w:val="002350C2"/>
    <w:rsid w:val="002368AE"/>
    <w:rsid w:val="00244E35"/>
    <w:rsid w:val="00247E4E"/>
    <w:rsid w:val="00251254"/>
    <w:rsid w:val="00251E70"/>
    <w:rsid w:val="00253622"/>
    <w:rsid w:val="002548D1"/>
    <w:rsid w:val="0027283B"/>
    <w:rsid w:val="00275795"/>
    <w:rsid w:val="0028019B"/>
    <w:rsid w:val="00280C0A"/>
    <w:rsid w:val="00280EB4"/>
    <w:rsid w:val="00282E73"/>
    <w:rsid w:val="00283417"/>
    <w:rsid w:val="00283CAB"/>
    <w:rsid w:val="0028525A"/>
    <w:rsid w:val="00291F3F"/>
    <w:rsid w:val="002A1B46"/>
    <w:rsid w:val="002A3FEF"/>
    <w:rsid w:val="002A59A4"/>
    <w:rsid w:val="002A7D4D"/>
    <w:rsid w:val="002B0D54"/>
    <w:rsid w:val="002B28F4"/>
    <w:rsid w:val="002B54A6"/>
    <w:rsid w:val="002C00BA"/>
    <w:rsid w:val="002C16A3"/>
    <w:rsid w:val="002C1B10"/>
    <w:rsid w:val="002C617D"/>
    <w:rsid w:val="002D7769"/>
    <w:rsid w:val="002F3EE9"/>
    <w:rsid w:val="002F5A85"/>
    <w:rsid w:val="00302DCA"/>
    <w:rsid w:val="00303A91"/>
    <w:rsid w:val="00304050"/>
    <w:rsid w:val="00307F76"/>
    <w:rsid w:val="0031083C"/>
    <w:rsid w:val="0031518E"/>
    <w:rsid w:val="00321FBB"/>
    <w:rsid w:val="0032591D"/>
    <w:rsid w:val="00330832"/>
    <w:rsid w:val="003313EA"/>
    <w:rsid w:val="00333FAA"/>
    <w:rsid w:val="003355D7"/>
    <w:rsid w:val="0033585A"/>
    <w:rsid w:val="00337D90"/>
    <w:rsid w:val="00350D6D"/>
    <w:rsid w:val="0036201C"/>
    <w:rsid w:val="00364061"/>
    <w:rsid w:val="0037297D"/>
    <w:rsid w:val="00374AE8"/>
    <w:rsid w:val="00376768"/>
    <w:rsid w:val="00380F87"/>
    <w:rsid w:val="00381D41"/>
    <w:rsid w:val="0039144D"/>
    <w:rsid w:val="003B003D"/>
    <w:rsid w:val="003B2289"/>
    <w:rsid w:val="003C1F85"/>
    <w:rsid w:val="003C270D"/>
    <w:rsid w:val="003C5480"/>
    <w:rsid w:val="003D0E4C"/>
    <w:rsid w:val="003D2230"/>
    <w:rsid w:val="003D6E2F"/>
    <w:rsid w:val="003F200F"/>
    <w:rsid w:val="003F3AFD"/>
    <w:rsid w:val="004033D4"/>
    <w:rsid w:val="004076C8"/>
    <w:rsid w:val="00416031"/>
    <w:rsid w:val="004207E3"/>
    <w:rsid w:val="00421A4C"/>
    <w:rsid w:val="004238C2"/>
    <w:rsid w:val="00435B5D"/>
    <w:rsid w:val="004363F7"/>
    <w:rsid w:val="00442BD9"/>
    <w:rsid w:val="00443C07"/>
    <w:rsid w:val="0044525C"/>
    <w:rsid w:val="004502A6"/>
    <w:rsid w:val="004544D0"/>
    <w:rsid w:val="00455066"/>
    <w:rsid w:val="004553F1"/>
    <w:rsid w:val="00462434"/>
    <w:rsid w:val="00467A1E"/>
    <w:rsid w:val="0047091C"/>
    <w:rsid w:val="00471C1F"/>
    <w:rsid w:val="00475E6E"/>
    <w:rsid w:val="004809FA"/>
    <w:rsid w:val="00481D20"/>
    <w:rsid w:val="00482F12"/>
    <w:rsid w:val="004A264F"/>
    <w:rsid w:val="004A48CC"/>
    <w:rsid w:val="004A7FEC"/>
    <w:rsid w:val="004C2D09"/>
    <w:rsid w:val="004C4A75"/>
    <w:rsid w:val="004C76CE"/>
    <w:rsid w:val="004D0C2A"/>
    <w:rsid w:val="004D2DA0"/>
    <w:rsid w:val="004D6002"/>
    <w:rsid w:val="004E14A4"/>
    <w:rsid w:val="004E26A2"/>
    <w:rsid w:val="004F54BD"/>
    <w:rsid w:val="004F56C5"/>
    <w:rsid w:val="00505C3E"/>
    <w:rsid w:val="00506185"/>
    <w:rsid w:val="00517E89"/>
    <w:rsid w:val="0052536B"/>
    <w:rsid w:val="005354D0"/>
    <w:rsid w:val="0054172C"/>
    <w:rsid w:val="005420FC"/>
    <w:rsid w:val="00545264"/>
    <w:rsid w:val="0054590F"/>
    <w:rsid w:val="005459EC"/>
    <w:rsid w:val="00545F8B"/>
    <w:rsid w:val="00551E41"/>
    <w:rsid w:val="00555246"/>
    <w:rsid w:val="00555A70"/>
    <w:rsid w:val="00563EA4"/>
    <w:rsid w:val="005675D3"/>
    <w:rsid w:val="0057135F"/>
    <w:rsid w:val="005718B5"/>
    <w:rsid w:val="0057725D"/>
    <w:rsid w:val="005808FB"/>
    <w:rsid w:val="005811F8"/>
    <w:rsid w:val="00582605"/>
    <w:rsid w:val="0058418A"/>
    <w:rsid w:val="005858F4"/>
    <w:rsid w:val="0058745D"/>
    <w:rsid w:val="00587AF2"/>
    <w:rsid w:val="00591016"/>
    <w:rsid w:val="00595F7A"/>
    <w:rsid w:val="005A1C6F"/>
    <w:rsid w:val="005A2C5F"/>
    <w:rsid w:val="005B3F67"/>
    <w:rsid w:val="005C0A9B"/>
    <w:rsid w:val="005C1F17"/>
    <w:rsid w:val="005C3D0E"/>
    <w:rsid w:val="005D548F"/>
    <w:rsid w:val="005D6EF5"/>
    <w:rsid w:val="005D76E5"/>
    <w:rsid w:val="005E3A10"/>
    <w:rsid w:val="005E5702"/>
    <w:rsid w:val="005E706C"/>
    <w:rsid w:val="005E7509"/>
    <w:rsid w:val="005F264F"/>
    <w:rsid w:val="005F2B99"/>
    <w:rsid w:val="005F53F9"/>
    <w:rsid w:val="00600876"/>
    <w:rsid w:val="00601D7F"/>
    <w:rsid w:val="00602DD0"/>
    <w:rsid w:val="00605A4C"/>
    <w:rsid w:val="00610C63"/>
    <w:rsid w:val="00612E37"/>
    <w:rsid w:val="0064287C"/>
    <w:rsid w:val="00645B8B"/>
    <w:rsid w:val="00652760"/>
    <w:rsid w:val="00655044"/>
    <w:rsid w:val="00655D80"/>
    <w:rsid w:val="00660E5A"/>
    <w:rsid w:val="00661F76"/>
    <w:rsid w:val="006622D9"/>
    <w:rsid w:val="00663833"/>
    <w:rsid w:val="00666922"/>
    <w:rsid w:val="00670B32"/>
    <w:rsid w:val="00670F17"/>
    <w:rsid w:val="006710C7"/>
    <w:rsid w:val="00683B8D"/>
    <w:rsid w:val="0069126D"/>
    <w:rsid w:val="00694BFA"/>
    <w:rsid w:val="00695DD8"/>
    <w:rsid w:val="00696A83"/>
    <w:rsid w:val="006A44FF"/>
    <w:rsid w:val="006B0BCD"/>
    <w:rsid w:val="006B77A1"/>
    <w:rsid w:val="006C3DB6"/>
    <w:rsid w:val="006C580A"/>
    <w:rsid w:val="006D0DA5"/>
    <w:rsid w:val="006D1E69"/>
    <w:rsid w:val="006D498A"/>
    <w:rsid w:val="006F057C"/>
    <w:rsid w:val="006F22DA"/>
    <w:rsid w:val="006F2EB3"/>
    <w:rsid w:val="006F3756"/>
    <w:rsid w:val="00703C0E"/>
    <w:rsid w:val="007116B1"/>
    <w:rsid w:val="007120DD"/>
    <w:rsid w:val="00714BEE"/>
    <w:rsid w:val="00721215"/>
    <w:rsid w:val="00725469"/>
    <w:rsid w:val="00730089"/>
    <w:rsid w:val="007400CF"/>
    <w:rsid w:val="00750667"/>
    <w:rsid w:val="00751DD2"/>
    <w:rsid w:val="0075726E"/>
    <w:rsid w:val="007739ED"/>
    <w:rsid w:val="00783ABF"/>
    <w:rsid w:val="00790219"/>
    <w:rsid w:val="00791592"/>
    <w:rsid w:val="0079229A"/>
    <w:rsid w:val="00793504"/>
    <w:rsid w:val="00796A26"/>
    <w:rsid w:val="007A09A8"/>
    <w:rsid w:val="007B23FC"/>
    <w:rsid w:val="007B5193"/>
    <w:rsid w:val="007C48B3"/>
    <w:rsid w:val="007D0C1D"/>
    <w:rsid w:val="007D2000"/>
    <w:rsid w:val="007D4DBF"/>
    <w:rsid w:val="007D52CB"/>
    <w:rsid w:val="007E1775"/>
    <w:rsid w:val="007E4732"/>
    <w:rsid w:val="007E4BA4"/>
    <w:rsid w:val="007F004E"/>
    <w:rsid w:val="007F0E2E"/>
    <w:rsid w:val="007F146F"/>
    <w:rsid w:val="007F335A"/>
    <w:rsid w:val="00803104"/>
    <w:rsid w:val="00805B98"/>
    <w:rsid w:val="00806F71"/>
    <w:rsid w:val="008073CD"/>
    <w:rsid w:val="00812901"/>
    <w:rsid w:val="00820040"/>
    <w:rsid w:val="00820F85"/>
    <w:rsid w:val="00824C62"/>
    <w:rsid w:val="00826B9A"/>
    <w:rsid w:val="00826D92"/>
    <w:rsid w:val="00833ADB"/>
    <w:rsid w:val="0083708E"/>
    <w:rsid w:val="00842757"/>
    <w:rsid w:val="00843CC2"/>
    <w:rsid w:val="008466F0"/>
    <w:rsid w:val="0085266D"/>
    <w:rsid w:val="00857AA5"/>
    <w:rsid w:val="00860271"/>
    <w:rsid w:val="008627A6"/>
    <w:rsid w:val="008636DA"/>
    <w:rsid w:val="008676C0"/>
    <w:rsid w:val="00876647"/>
    <w:rsid w:val="008913FE"/>
    <w:rsid w:val="008956D9"/>
    <w:rsid w:val="00896497"/>
    <w:rsid w:val="008A4061"/>
    <w:rsid w:val="008A5AA0"/>
    <w:rsid w:val="008C2EFB"/>
    <w:rsid w:val="008D7E75"/>
    <w:rsid w:val="008E224D"/>
    <w:rsid w:val="008F2670"/>
    <w:rsid w:val="008F3E0C"/>
    <w:rsid w:val="00901BF3"/>
    <w:rsid w:val="00907233"/>
    <w:rsid w:val="009170DE"/>
    <w:rsid w:val="0092530B"/>
    <w:rsid w:val="009341A6"/>
    <w:rsid w:val="00937024"/>
    <w:rsid w:val="0094208C"/>
    <w:rsid w:val="00942F17"/>
    <w:rsid w:val="00943236"/>
    <w:rsid w:val="009466AA"/>
    <w:rsid w:val="00952CEF"/>
    <w:rsid w:val="00955421"/>
    <w:rsid w:val="009563D2"/>
    <w:rsid w:val="0098041F"/>
    <w:rsid w:val="00981F56"/>
    <w:rsid w:val="00990E9C"/>
    <w:rsid w:val="0099334D"/>
    <w:rsid w:val="00994542"/>
    <w:rsid w:val="00994908"/>
    <w:rsid w:val="009A099F"/>
    <w:rsid w:val="009B160B"/>
    <w:rsid w:val="009C237B"/>
    <w:rsid w:val="009C4DD1"/>
    <w:rsid w:val="009D3067"/>
    <w:rsid w:val="009D4465"/>
    <w:rsid w:val="009D65F5"/>
    <w:rsid w:val="009E5A93"/>
    <w:rsid w:val="009E71F8"/>
    <w:rsid w:val="009F3154"/>
    <w:rsid w:val="009F3E18"/>
    <w:rsid w:val="00A04551"/>
    <w:rsid w:val="00A106EF"/>
    <w:rsid w:val="00A1211C"/>
    <w:rsid w:val="00A12C0B"/>
    <w:rsid w:val="00A20113"/>
    <w:rsid w:val="00A20D78"/>
    <w:rsid w:val="00A2215F"/>
    <w:rsid w:val="00A22839"/>
    <w:rsid w:val="00A23E19"/>
    <w:rsid w:val="00A24279"/>
    <w:rsid w:val="00A33185"/>
    <w:rsid w:val="00A352F2"/>
    <w:rsid w:val="00A402D8"/>
    <w:rsid w:val="00A426CF"/>
    <w:rsid w:val="00A511C2"/>
    <w:rsid w:val="00A53B04"/>
    <w:rsid w:val="00A660ED"/>
    <w:rsid w:val="00A661F4"/>
    <w:rsid w:val="00A66326"/>
    <w:rsid w:val="00A664CF"/>
    <w:rsid w:val="00A7271A"/>
    <w:rsid w:val="00A733A7"/>
    <w:rsid w:val="00A73A50"/>
    <w:rsid w:val="00A74536"/>
    <w:rsid w:val="00A74D79"/>
    <w:rsid w:val="00A76FC0"/>
    <w:rsid w:val="00A81E19"/>
    <w:rsid w:val="00A871A5"/>
    <w:rsid w:val="00A87BFE"/>
    <w:rsid w:val="00A9723B"/>
    <w:rsid w:val="00AA093B"/>
    <w:rsid w:val="00AA0E2B"/>
    <w:rsid w:val="00AA6F2D"/>
    <w:rsid w:val="00AA7F17"/>
    <w:rsid w:val="00AB34B3"/>
    <w:rsid w:val="00AB700A"/>
    <w:rsid w:val="00AB795F"/>
    <w:rsid w:val="00AC6312"/>
    <w:rsid w:val="00AD1E77"/>
    <w:rsid w:val="00AD6D80"/>
    <w:rsid w:val="00AF6503"/>
    <w:rsid w:val="00B0159F"/>
    <w:rsid w:val="00B038AE"/>
    <w:rsid w:val="00B1160D"/>
    <w:rsid w:val="00B139FB"/>
    <w:rsid w:val="00B156F1"/>
    <w:rsid w:val="00B231D5"/>
    <w:rsid w:val="00B24B13"/>
    <w:rsid w:val="00B3329F"/>
    <w:rsid w:val="00B34EFD"/>
    <w:rsid w:val="00B375BC"/>
    <w:rsid w:val="00B4145A"/>
    <w:rsid w:val="00B41533"/>
    <w:rsid w:val="00B444E6"/>
    <w:rsid w:val="00B445A1"/>
    <w:rsid w:val="00B46340"/>
    <w:rsid w:val="00B50B22"/>
    <w:rsid w:val="00B52011"/>
    <w:rsid w:val="00B53EFF"/>
    <w:rsid w:val="00B54587"/>
    <w:rsid w:val="00B54AFA"/>
    <w:rsid w:val="00B6453B"/>
    <w:rsid w:val="00B671A4"/>
    <w:rsid w:val="00B72640"/>
    <w:rsid w:val="00B804E8"/>
    <w:rsid w:val="00B81C6C"/>
    <w:rsid w:val="00B85F8A"/>
    <w:rsid w:val="00B9613E"/>
    <w:rsid w:val="00B96EB7"/>
    <w:rsid w:val="00BA5614"/>
    <w:rsid w:val="00BC137F"/>
    <w:rsid w:val="00BC206C"/>
    <w:rsid w:val="00BC431A"/>
    <w:rsid w:val="00BD1B30"/>
    <w:rsid w:val="00BD5396"/>
    <w:rsid w:val="00BE07F7"/>
    <w:rsid w:val="00BE3022"/>
    <w:rsid w:val="00BE7C16"/>
    <w:rsid w:val="00BF3068"/>
    <w:rsid w:val="00BF3EA2"/>
    <w:rsid w:val="00BF5AFA"/>
    <w:rsid w:val="00BF6D8A"/>
    <w:rsid w:val="00C01A35"/>
    <w:rsid w:val="00C03772"/>
    <w:rsid w:val="00C04EDA"/>
    <w:rsid w:val="00C05370"/>
    <w:rsid w:val="00C10306"/>
    <w:rsid w:val="00C119A2"/>
    <w:rsid w:val="00C13D10"/>
    <w:rsid w:val="00C15C28"/>
    <w:rsid w:val="00C15DE2"/>
    <w:rsid w:val="00C206D8"/>
    <w:rsid w:val="00C20C61"/>
    <w:rsid w:val="00C365B6"/>
    <w:rsid w:val="00C37D93"/>
    <w:rsid w:val="00C44B0C"/>
    <w:rsid w:val="00C5012C"/>
    <w:rsid w:val="00C53F1A"/>
    <w:rsid w:val="00C57267"/>
    <w:rsid w:val="00C616FF"/>
    <w:rsid w:val="00C62B63"/>
    <w:rsid w:val="00C65A06"/>
    <w:rsid w:val="00C7122D"/>
    <w:rsid w:val="00C72B5B"/>
    <w:rsid w:val="00C840C9"/>
    <w:rsid w:val="00C869F3"/>
    <w:rsid w:val="00C86ED5"/>
    <w:rsid w:val="00C870B1"/>
    <w:rsid w:val="00C875D6"/>
    <w:rsid w:val="00C87D53"/>
    <w:rsid w:val="00C95416"/>
    <w:rsid w:val="00CB090A"/>
    <w:rsid w:val="00CB19EE"/>
    <w:rsid w:val="00CB7D6C"/>
    <w:rsid w:val="00CC18AC"/>
    <w:rsid w:val="00CC5194"/>
    <w:rsid w:val="00CC707A"/>
    <w:rsid w:val="00CD7D5D"/>
    <w:rsid w:val="00CF0621"/>
    <w:rsid w:val="00CF0FC4"/>
    <w:rsid w:val="00CF6932"/>
    <w:rsid w:val="00D01FE3"/>
    <w:rsid w:val="00D0381E"/>
    <w:rsid w:val="00D06CA3"/>
    <w:rsid w:val="00D079FE"/>
    <w:rsid w:val="00D07F46"/>
    <w:rsid w:val="00D10088"/>
    <w:rsid w:val="00D14F60"/>
    <w:rsid w:val="00D170E5"/>
    <w:rsid w:val="00D2728C"/>
    <w:rsid w:val="00D37F2F"/>
    <w:rsid w:val="00D415B9"/>
    <w:rsid w:val="00D45C63"/>
    <w:rsid w:val="00D528E8"/>
    <w:rsid w:val="00D57DE9"/>
    <w:rsid w:val="00D605ED"/>
    <w:rsid w:val="00D771D0"/>
    <w:rsid w:val="00D8212D"/>
    <w:rsid w:val="00D82559"/>
    <w:rsid w:val="00D835CF"/>
    <w:rsid w:val="00D843D6"/>
    <w:rsid w:val="00D93613"/>
    <w:rsid w:val="00D9651D"/>
    <w:rsid w:val="00DA176F"/>
    <w:rsid w:val="00DA26FB"/>
    <w:rsid w:val="00DA36BE"/>
    <w:rsid w:val="00DA708D"/>
    <w:rsid w:val="00DB6C3D"/>
    <w:rsid w:val="00DC0556"/>
    <w:rsid w:val="00DC0D54"/>
    <w:rsid w:val="00DC2B35"/>
    <w:rsid w:val="00DC2EF4"/>
    <w:rsid w:val="00DC5ACF"/>
    <w:rsid w:val="00DC6C65"/>
    <w:rsid w:val="00DD3573"/>
    <w:rsid w:val="00DD7468"/>
    <w:rsid w:val="00DE19E8"/>
    <w:rsid w:val="00DE25E9"/>
    <w:rsid w:val="00DE71D3"/>
    <w:rsid w:val="00DE72CF"/>
    <w:rsid w:val="00DF08A0"/>
    <w:rsid w:val="00DF25BD"/>
    <w:rsid w:val="00DF27CE"/>
    <w:rsid w:val="00DF51CA"/>
    <w:rsid w:val="00E06CEF"/>
    <w:rsid w:val="00E13158"/>
    <w:rsid w:val="00E13783"/>
    <w:rsid w:val="00E13BEF"/>
    <w:rsid w:val="00E45EF0"/>
    <w:rsid w:val="00E578D3"/>
    <w:rsid w:val="00E630F7"/>
    <w:rsid w:val="00E65BA1"/>
    <w:rsid w:val="00E662D2"/>
    <w:rsid w:val="00E70760"/>
    <w:rsid w:val="00E8216C"/>
    <w:rsid w:val="00E9253C"/>
    <w:rsid w:val="00E93B3B"/>
    <w:rsid w:val="00E97AC8"/>
    <w:rsid w:val="00EA0CF3"/>
    <w:rsid w:val="00EA60F0"/>
    <w:rsid w:val="00EA6E41"/>
    <w:rsid w:val="00EB3CF0"/>
    <w:rsid w:val="00EB45B5"/>
    <w:rsid w:val="00EB5E57"/>
    <w:rsid w:val="00EB61DB"/>
    <w:rsid w:val="00EC4938"/>
    <w:rsid w:val="00EC70C6"/>
    <w:rsid w:val="00ED1AD0"/>
    <w:rsid w:val="00ED1ECB"/>
    <w:rsid w:val="00ED4AFD"/>
    <w:rsid w:val="00ED6776"/>
    <w:rsid w:val="00EE4FBE"/>
    <w:rsid w:val="00EE62CE"/>
    <w:rsid w:val="00EF01BD"/>
    <w:rsid w:val="00EF27B8"/>
    <w:rsid w:val="00F01E26"/>
    <w:rsid w:val="00F038A1"/>
    <w:rsid w:val="00F046B4"/>
    <w:rsid w:val="00F06E4E"/>
    <w:rsid w:val="00F12FD7"/>
    <w:rsid w:val="00F23816"/>
    <w:rsid w:val="00F23893"/>
    <w:rsid w:val="00F238E0"/>
    <w:rsid w:val="00F23F7C"/>
    <w:rsid w:val="00F240CC"/>
    <w:rsid w:val="00F33853"/>
    <w:rsid w:val="00F47AE2"/>
    <w:rsid w:val="00F50081"/>
    <w:rsid w:val="00F51E01"/>
    <w:rsid w:val="00F5649A"/>
    <w:rsid w:val="00F56DB8"/>
    <w:rsid w:val="00F63726"/>
    <w:rsid w:val="00F67DC5"/>
    <w:rsid w:val="00F72EC5"/>
    <w:rsid w:val="00F74B49"/>
    <w:rsid w:val="00F82342"/>
    <w:rsid w:val="00F8640F"/>
    <w:rsid w:val="00F87433"/>
    <w:rsid w:val="00F877DB"/>
    <w:rsid w:val="00F91AE4"/>
    <w:rsid w:val="00F93C8B"/>
    <w:rsid w:val="00F959DD"/>
    <w:rsid w:val="00F960D5"/>
    <w:rsid w:val="00FB1231"/>
    <w:rsid w:val="00FB4D72"/>
    <w:rsid w:val="00FC1C5C"/>
    <w:rsid w:val="00FD089A"/>
    <w:rsid w:val="00FD35F8"/>
    <w:rsid w:val="00FD4E2A"/>
    <w:rsid w:val="00FD6CA1"/>
    <w:rsid w:val="00FE17E2"/>
    <w:rsid w:val="00FE7BA2"/>
    <w:rsid w:val="00FF6E4B"/>
    <w:rsid w:val="17F41994"/>
    <w:rsid w:val="224DF7B4"/>
    <w:rsid w:val="23B6646C"/>
    <w:rsid w:val="2697ADCA"/>
    <w:rsid w:val="2896C77B"/>
    <w:rsid w:val="2A3297DC"/>
    <w:rsid w:val="32959AF1"/>
    <w:rsid w:val="353475EB"/>
    <w:rsid w:val="4800DDEE"/>
    <w:rsid w:val="49CFD7D8"/>
    <w:rsid w:val="55DAD3D7"/>
    <w:rsid w:val="576EF44A"/>
    <w:rsid w:val="5908CE47"/>
    <w:rsid w:val="630BC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E8B24B"/>
  <w15:docId w15:val="{284D6209-673C-4A1B-A513-6F869D50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uiPriority="2" w:qFormat="1"/>
    <w:lsdException w:name="List Number" w:semiHidden="1" w:uiPriority="9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link w:val="Heading1Char"/>
    <w:uiPriority w:val="99"/>
    <w:qFormat/>
    <w:rsid w:val="00F06E4E"/>
    <w:pPr>
      <w:outlineLvl w:val="0"/>
    </w:pPr>
    <w:rPr>
      <w:b w:val="0"/>
      <w:sz w:val="36"/>
    </w:rPr>
  </w:style>
  <w:style w:type="paragraph" w:styleId="Heading2">
    <w:name w:val="heading 2"/>
    <w:basedOn w:val="Normal"/>
    <w:next w:val="Normal"/>
    <w:link w:val="Heading2Char"/>
    <w:qFormat/>
    <w:rsid w:val="00F06E4E"/>
    <w:pPr>
      <w:outlineLvl w:val="1"/>
    </w:pPr>
    <w:rPr>
      <w:rFonts w:ascii="Arial Black" w:hAnsi="Arial Black" w:cs="Arial"/>
      <w:b/>
      <w:bCs/>
      <w:sz w:val="32"/>
      <w:szCs w:val="32"/>
    </w:rPr>
  </w:style>
  <w:style w:type="paragraph" w:styleId="Heading3">
    <w:name w:val="heading 3"/>
    <w:basedOn w:val="Normal"/>
    <w:next w:val="Normal"/>
    <w:link w:val="Heading3Char"/>
    <w:qFormat/>
    <w:rsid w:val="00F06E4E"/>
    <w:pPr>
      <w:ind w:left="720" w:hanging="720"/>
      <w:jc w:val="both"/>
      <w:outlineLvl w:val="2"/>
    </w:pPr>
    <w:rPr>
      <w:rFonts w:cs="Arial"/>
      <w:b/>
      <w:bCs/>
      <w:sz w:val="28"/>
      <w:szCs w:val="28"/>
    </w:rPr>
  </w:style>
  <w:style w:type="paragraph" w:styleId="Heading4">
    <w:name w:val="heading 4"/>
    <w:basedOn w:val="Normal"/>
    <w:next w:val="Normal"/>
    <w:link w:val="Heading4Char"/>
    <w:qFormat/>
    <w:rsid w:val="00333FAA"/>
    <w:pPr>
      <w:keepNext/>
      <w:outlineLvl w:val="3"/>
    </w:pPr>
    <w:rPr>
      <w:rFonts w:cs="Arial"/>
      <w:b/>
    </w:rPr>
  </w:style>
  <w:style w:type="paragraph" w:styleId="Heading5">
    <w:name w:val="heading 5"/>
    <w:basedOn w:val="Normal"/>
    <w:next w:val="Normal"/>
    <w:link w:val="Heading5Char"/>
    <w:semiHidden/>
    <w:unhideWhenUsed/>
    <w:qFormat/>
    <w:rsid w:val="00DF27CE"/>
    <w:pPr>
      <w:keepNext/>
      <w:outlineLvl w:val="4"/>
    </w:pPr>
    <w:rPr>
      <w:rFonts w:cs="Arial"/>
      <w:sz w:val="28"/>
    </w:rPr>
  </w:style>
  <w:style w:type="paragraph" w:styleId="Heading6">
    <w:name w:val="heading 6"/>
    <w:basedOn w:val="Normal"/>
    <w:next w:val="Normal"/>
    <w:link w:val="Heading6Char"/>
    <w:semiHidden/>
    <w:unhideWhenUsed/>
    <w:qFormat/>
    <w:rsid w:val="00DF27CE"/>
    <w:pPr>
      <w:keepNext/>
      <w:ind w:left="720" w:hanging="720"/>
      <w:outlineLvl w:val="5"/>
    </w:pPr>
    <w:rPr>
      <w:rFonts w:cs="Arial"/>
      <w:b/>
      <w:bCs/>
      <w:sz w:val="28"/>
      <w:szCs w:val="24"/>
    </w:rPr>
  </w:style>
  <w:style w:type="paragraph" w:styleId="Heading7">
    <w:name w:val="heading 7"/>
    <w:basedOn w:val="Normal"/>
    <w:next w:val="Normal"/>
    <w:link w:val="Heading7Char"/>
    <w:semiHidden/>
    <w:unhideWhenUsed/>
    <w:qFormat/>
    <w:rsid w:val="00DF27CE"/>
    <w:pPr>
      <w:keepNext/>
      <w:ind w:left="720" w:hanging="720"/>
      <w:jc w:val="both"/>
      <w:outlineLvl w:val="6"/>
    </w:pPr>
    <w:rPr>
      <w:rFonts w:cs="Arial"/>
      <w:i/>
      <w:iCs/>
    </w:rPr>
  </w:style>
  <w:style w:type="paragraph" w:styleId="Heading8">
    <w:name w:val="heading 8"/>
    <w:basedOn w:val="Normal"/>
    <w:next w:val="Normal"/>
    <w:link w:val="Heading8Char"/>
    <w:semiHidden/>
    <w:unhideWhenUsed/>
    <w:qFormat/>
    <w:rsid w:val="00DF27CE"/>
    <w:pPr>
      <w:keepNext/>
      <w:ind w:left="720" w:hanging="720"/>
      <w:outlineLvl w:val="7"/>
    </w:pPr>
    <w:rPr>
      <w:rFonts w:cs="Arial"/>
      <w:i/>
      <w:iCs/>
    </w:rPr>
  </w:style>
  <w:style w:type="paragraph" w:styleId="Heading9">
    <w:name w:val="heading 9"/>
    <w:basedOn w:val="Normal"/>
    <w:next w:val="Normal"/>
    <w:link w:val="Heading9Char"/>
    <w:semiHidden/>
    <w:unhideWhenUsed/>
    <w:qFormat/>
    <w:rsid w:val="00DF27CE"/>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link w:val="HeaderChar"/>
    <w:uiPriority w:val="99"/>
    <w:rsid w:val="00333FAA"/>
    <w:pPr>
      <w:tabs>
        <w:tab w:val="center" w:pos="4153"/>
        <w:tab w:val="right" w:pos="8306"/>
      </w:tabs>
    </w:pPr>
  </w:style>
  <w:style w:type="paragraph" w:styleId="FootnoteText">
    <w:name w:val="footnote text"/>
    <w:basedOn w:val="Normal"/>
    <w:link w:val="FootnoteTextChar"/>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link w:val="BodyTextChar"/>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aliases w:val="NumberedList,Colorful List - Accent 11,Bullet 1,Numbered Para 1,Dot pt,No Spacing1,List Paragraph Char Char Char,Indicator Text,List Paragraph1,Bullet Points,MAIN CONTENT,F5 List Paragraph,List Paragraph12,Bullet Style,Normal numbered,L"/>
    <w:basedOn w:val="Normal"/>
    <w:link w:val="ListParagraphChar"/>
    <w:uiPriority w:val="34"/>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character" w:styleId="UnresolvedMention">
    <w:name w:val="Unresolved Mention"/>
    <w:basedOn w:val="DefaultParagraphFont"/>
    <w:uiPriority w:val="99"/>
    <w:semiHidden/>
    <w:unhideWhenUsed/>
    <w:rsid w:val="00F238E0"/>
    <w:rPr>
      <w:color w:val="605E5C"/>
      <w:shd w:val="clear" w:color="auto" w:fill="E1DFDD"/>
    </w:rPr>
  </w:style>
  <w:style w:type="paragraph" w:customStyle="1" w:styleId="paragraph">
    <w:name w:val="paragraph"/>
    <w:basedOn w:val="Normal"/>
    <w:rsid w:val="00330832"/>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330832"/>
  </w:style>
  <w:style w:type="character" w:customStyle="1" w:styleId="eop">
    <w:name w:val="eop"/>
    <w:basedOn w:val="DefaultParagraphFont"/>
    <w:rsid w:val="00330832"/>
  </w:style>
  <w:style w:type="character" w:customStyle="1" w:styleId="ListParagraphChar">
    <w:name w:val="List Paragraph Char"/>
    <w:aliases w:val="NumberedList Char,Colorful List - Accent 11 Char,Bullet 1 Char,Numbered Para 1 Char,Dot pt Char,No Spacing1 Char,List Paragraph Char Char Char Char,Indicator Text Char,List Paragraph1 Char,Bullet Points Char,MAIN CONTENT Char,L Char"/>
    <w:basedOn w:val="DefaultParagraphFont"/>
    <w:link w:val="ListParagraph"/>
    <w:uiPriority w:val="34"/>
    <w:qFormat/>
    <w:locked/>
    <w:rsid w:val="00D57DE9"/>
    <w:rPr>
      <w:rFonts w:ascii="Arial" w:hAnsi="Arial"/>
      <w:sz w:val="24"/>
      <w:lang w:eastAsia="en-US"/>
    </w:rPr>
  </w:style>
  <w:style w:type="paragraph" w:customStyle="1" w:styleId="StyleListParagraphLatinFoundryFormSans14ptBoldBefo">
    <w:name w:val="Style List Paragraph + (Latin) Foundry Form Sans 14 pt Bold Befo..."/>
    <w:basedOn w:val="ListParagraph"/>
    <w:rsid w:val="009E71F8"/>
    <w:pPr>
      <w:numPr>
        <w:numId w:val="2"/>
      </w:numPr>
      <w:tabs>
        <w:tab w:val="num" w:pos="360"/>
        <w:tab w:val="left" w:pos="720"/>
        <w:tab w:val="left" w:pos="1260"/>
      </w:tabs>
      <w:spacing w:before="240" w:after="120" w:line="276" w:lineRule="auto"/>
      <w:ind w:firstLine="0"/>
    </w:pPr>
    <w:rPr>
      <w:rFonts w:ascii="Foundry Form Sans" w:hAnsi="Foundry Form Sans"/>
      <w:b/>
      <w:bCs/>
      <w:sz w:val="28"/>
      <w:lang w:val="en-US"/>
    </w:rPr>
  </w:style>
  <w:style w:type="paragraph" w:styleId="Revision">
    <w:name w:val="Revision"/>
    <w:hidden/>
    <w:uiPriority w:val="99"/>
    <w:semiHidden/>
    <w:rsid w:val="0058418A"/>
    <w:rPr>
      <w:rFonts w:ascii="Arial" w:hAnsi="Arial"/>
      <w:sz w:val="24"/>
      <w:lang w:eastAsia="en-US"/>
    </w:rPr>
  </w:style>
  <w:style w:type="paragraph" w:styleId="ListNumber">
    <w:name w:val="List Number"/>
    <w:basedOn w:val="Normal"/>
    <w:uiPriority w:val="99"/>
    <w:qFormat/>
    <w:rsid w:val="00D843D6"/>
    <w:pPr>
      <w:numPr>
        <w:numId w:val="3"/>
      </w:numPr>
      <w:spacing w:before="120" w:after="120"/>
    </w:pPr>
    <w:rPr>
      <w:rFonts w:eastAsia="Arial"/>
      <w:color w:val="4E4E50"/>
      <w:sz w:val="22"/>
      <w:szCs w:val="22"/>
      <w:lang w:val="en-AU"/>
    </w:rPr>
  </w:style>
  <w:style w:type="character" w:customStyle="1" w:styleId="BodyTextChar">
    <w:name w:val="Body Text Char"/>
    <w:link w:val="BodyText"/>
    <w:rsid w:val="005420FC"/>
    <w:rPr>
      <w:rFonts w:ascii="Arial" w:hAnsi="Arial" w:cs="Arial"/>
      <w:i/>
      <w:iCs/>
      <w:sz w:val="24"/>
      <w:lang w:eastAsia="en-US"/>
    </w:rPr>
  </w:style>
  <w:style w:type="paragraph" w:customStyle="1" w:styleId="ChapterHeading">
    <w:name w:val="Chapter Heading"/>
    <w:basedOn w:val="Normal"/>
    <w:link w:val="ChapterHeadingChar"/>
    <w:uiPriority w:val="99"/>
    <w:semiHidden/>
    <w:rsid w:val="0098041F"/>
    <w:pPr>
      <w:pageBreakBefore/>
      <w:numPr>
        <w:numId w:val="5"/>
      </w:numPr>
      <w:spacing w:before="120" w:after="120"/>
      <w:jc w:val="both"/>
    </w:pPr>
    <w:rPr>
      <w:rFonts w:ascii="Calibri" w:hAnsi="Calibri" w:cs="Arial"/>
      <w:b/>
      <w:noProof/>
      <w:spacing w:val="-5"/>
      <w:sz w:val="36"/>
      <w:szCs w:val="36"/>
    </w:rPr>
  </w:style>
  <w:style w:type="paragraph" w:customStyle="1" w:styleId="Subheading">
    <w:name w:val="Subheading"/>
    <w:basedOn w:val="BodyText"/>
    <w:link w:val="SubheadingChar"/>
    <w:uiPriority w:val="99"/>
    <w:semiHidden/>
    <w:rsid w:val="0098041F"/>
    <w:pPr>
      <w:numPr>
        <w:ilvl w:val="1"/>
        <w:numId w:val="5"/>
      </w:numPr>
      <w:spacing w:before="270" w:after="180"/>
      <w:jc w:val="both"/>
    </w:pPr>
    <w:rPr>
      <w:b/>
      <w:i w:val="0"/>
      <w:iCs w:val="0"/>
      <w:noProof/>
      <w:sz w:val="22"/>
      <w:szCs w:val="22"/>
    </w:rPr>
  </w:style>
  <w:style w:type="paragraph" w:customStyle="1" w:styleId="subhead">
    <w:name w:val="subhead"/>
    <w:basedOn w:val="Subheading"/>
    <w:link w:val="subheadChar"/>
    <w:uiPriority w:val="99"/>
    <w:rsid w:val="0098041F"/>
  </w:style>
  <w:style w:type="character" w:customStyle="1" w:styleId="subheadChar">
    <w:name w:val="subhead Char"/>
    <w:basedOn w:val="DefaultParagraphFont"/>
    <w:link w:val="subhead"/>
    <w:uiPriority w:val="99"/>
    <w:locked/>
    <w:rsid w:val="0098041F"/>
    <w:rPr>
      <w:rFonts w:ascii="Arial" w:hAnsi="Arial" w:cs="Arial"/>
      <w:b/>
      <w:noProof/>
      <w:sz w:val="22"/>
      <w:szCs w:val="22"/>
      <w:lang w:eastAsia="en-US"/>
    </w:rPr>
  </w:style>
  <w:style w:type="paragraph" w:customStyle="1" w:styleId="body">
    <w:name w:val="body"/>
    <w:basedOn w:val="Normal"/>
    <w:link w:val="bodyChar"/>
    <w:uiPriority w:val="99"/>
    <w:rsid w:val="00B46340"/>
    <w:pPr>
      <w:jc w:val="both"/>
    </w:pPr>
    <w:rPr>
      <w:rFonts w:cs="Arial"/>
      <w:noProof/>
      <w:spacing w:val="-5"/>
      <w:sz w:val="22"/>
      <w:szCs w:val="22"/>
    </w:rPr>
  </w:style>
  <w:style w:type="character" w:customStyle="1" w:styleId="bodyChar">
    <w:name w:val="body Char"/>
    <w:basedOn w:val="DefaultParagraphFont"/>
    <w:link w:val="body"/>
    <w:uiPriority w:val="99"/>
    <w:locked/>
    <w:rsid w:val="00B46340"/>
    <w:rPr>
      <w:rFonts w:ascii="Arial" w:hAnsi="Arial" w:cs="Arial"/>
      <w:noProof/>
      <w:spacing w:val="-5"/>
      <w:sz w:val="22"/>
      <w:szCs w:val="22"/>
      <w:lang w:eastAsia="en-US"/>
    </w:rPr>
  </w:style>
  <w:style w:type="character" w:customStyle="1" w:styleId="SubheadingChar">
    <w:name w:val="Subheading Char"/>
    <w:basedOn w:val="DefaultParagraphFont"/>
    <w:link w:val="Subheading"/>
    <w:uiPriority w:val="99"/>
    <w:semiHidden/>
    <w:locked/>
    <w:rsid w:val="00B46340"/>
    <w:rPr>
      <w:rFonts w:ascii="Arial" w:hAnsi="Arial" w:cs="Arial"/>
      <w:b/>
      <w:noProof/>
      <w:sz w:val="22"/>
      <w:szCs w:val="22"/>
      <w:lang w:eastAsia="en-US"/>
    </w:rPr>
  </w:style>
  <w:style w:type="character" w:customStyle="1" w:styleId="Heading5Char">
    <w:name w:val="Heading 5 Char"/>
    <w:basedOn w:val="DefaultParagraphFont"/>
    <w:link w:val="Heading5"/>
    <w:semiHidden/>
    <w:rsid w:val="00DF27CE"/>
    <w:rPr>
      <w:rFonts w:ascii="Arial" w:hAnsi="Arial" w:cs="Arial"/>
      <w:sz w:val="28"/>
      <w:lang w:eastAsia="en-US"/>
    </w:rPr>
  </w:style>
  <w:style w:type="character" w:customStyle="1" w:styleId="Heading6Char">
    <w:name w:val="Heading 6 Char"/>
    <w:basedOn w:val="DefaultParagraphFont"/>
    <w:link w:val="Heading6"/>
    <w:semiHidden/>
    <w:rsid w:val="00DF27CE"/>
    <w:rPr>
      <w:rFonts w:ascii="Arial" w:hAnsi="Arial" w:cs="Arial"/>
      <w:b/>
      <w:bCs/>
      <w:sz w:val="28"/>
      <w:szCs w:val="24"/>
      <w:lang w:eastAsia="en-US"/>
    </w:rPr>
  </w:style>
  <w:style w:type="character" w:customStyle="1" w:styleId="Heading7Char">
    <w:name w:val="Heading 7 Char"/>
    <w:basedOn w:val="DefaultParagraphFont"/>
    <w:link w:val="Heading7"/>
    <w:semiHidden/>
    <w:rsid w:val="00DF27CE"/>
    <w:rPr>
      <w:rFonts w:ascii="Arial" w:hAnsi="Arial" w:cs="Arial"/>
      <w:i/>
      <w:iCs/>
      <w:sz w:val="24"/>
      <w:lang w:eastAsia="en-US"/>
    </w:rPr>
  </w:style>
  <w:style w:type="character" w:customStyle="1" w:styleId="Heading8Char">
    <w:name w:val="Heading 8 Char"/>
    <w:basedOn w:val="DefaultParagraphFont"/>
    <w:link w:val="Heading8"/>
    <w:semiHidden/>
    <w:rsid w:val="00DF27CE"/>
    <w:rPr>
      <w:rFonts w:ascii="Arial" w:hAnsi="Arial" w:cs="Arial"/>
      <w:i/>
      <w:iCs/>
      <w:sz w:val="24"/>
      <w:lang w:eastAsia="en-US"/>
    </w:rPr>
  </w:style>
  <w:style w:type="character" w:customStyle="1" w:styleId="Heading9Char">
    <w:name w:val="Heading 9 Char"/>
    <w:basedOn w:val="DefaultParagraphFont"/>
    <w:link w:val="Heading9"/>
    <w:semiHidden/>
    <w:rsid w:val="00DF27CE"/>
    <w:rPr>
      <w:rFonts w:ascii="Arial" w:hAnsi="Arial" w:cs="Arial"/>
      <w:sz w:val="24"/>
      <w:lang w:eastAsia="en-US"/>
    </w:rPr>
  </w:style>
  <w:style w:type="character" w:customStyle="1" w:styleId="Heading1Char">
    <w:name w:val="Heading 1 Char"/>
    <w:basedOn w:val="DefaultParagraphFont"/>
    <w:link w:val="Heading1"/>
    <w:uiPriority w:val="99"/>
    <w:rsid w:val="00DF27CE"/>
    <w:rPr>
      <w:rFonts w:ascii="Arial Black" w:hAnsi="Arial Black" w:cs="Arial"/>
      <w:bCs/>
      <w:sz w:val="36"/>
      <w:szCs w:val="32"/>
      <w:lang w:eastAsia="en-US"/>
    </w:rPr>
  </w:style>
  <w:style w:type="character" w:customStyle="1" w:styleId="Heading2Char">
    <w:name w:val="Heading 2 Char"/>
    <w:basedOn w:val="DefaultParagraphFont"/>
    <w:link w:val="Heading2"/>
    <w:rsid w:val="00DF27CE"/>
    <w:rPr>
      <w:rFonts w:ascii="Arial Black" w:hAnsi="Arial Black" w:cs="Arial"/>
      <w:b/>
      <w:bCs/>
      <w:sz w:val="32"/>
      <w:szCs w:val="32"/>
      <w:lang w:eastAsia="en-US"/>
    </w:rPr>
  </w:style>
  <w:style w:type="character" w:customStyle="1" w:styleId="Heading3Char">
    <w:name w:val="Heading 3 Char"/>
    <w:basedOn w:val="DefaultParagraphFont"/>
    <w:link w:val="Heading3"/>
    <w:rsid w:val="00DF27CE"/>
    <w:rPr>
      <w:rFonts w:ascii="Arial" w:hAnsi="Arial" w:cs="Arial"/>
      <w:b/>
      <w:bCs/>
      <w:sz w:val="28"/>
      <w:szCs w:val="28"/>
      <w:lang w:eastAsia="en-US"/>
    </w:rPr>
  </w:style>
  <w:style w:type="character" w:customStyle="1" w:styleId="Heading4Char">
    <w:name w:val="Heading 4 Char"/>
    <w:basedOn w:val="DefaultParagraphFont"/>
    <w:link w:val="Heading4"/>
    <w:rsid w:val="00DF27CE"/>
    <w:rPr>
      <w:rFonts w:ascii="Arial" w:hAnsi="Arial" w:cs="Arial"/>
      <w:b/>
      <w:sz w:val="24"/>
      <w:lang w:eastAsia="en-US"/>
    </w:rPr>
  </w:style>
  <w:style w:type="paragraph" w:customStyle="1" w:styleId="msonormal0">
    <w:name w:val="msonormal"/>
    <w:basedOn w:val="Normal"/>
    <w:rsid w:val="00DF27CE"/>
    <w:pPr>
      <w:spacing w:before="100" w:beforeAutospacing="1" w:after="300"/>
    </w:pPr>
    <w:rPr>
      <w:rFonts w:ascii="Times New Roman" w:eastAsia="Calibri" w:hAnsi="Times New Roman"/>
      <w:szCs w:val="24"/>
      <w:lang w:val="en-US"/>
    </w:rPr>
  </w:style>
  <w:style w:type="character" w:customStyle="1" w:styleId="FootnoteTextChar">
    <w:name w:val="Footnote Text Char"/>
    <w:basedOn w:val="DefaultParagraphFont"/>
    <w:link w:val="FootnoteText"/>
    <w:semiHidden/>
    <w:rsid w:val="00DF27CE"/>
    <w:rPr>
      <w:lang w:eastAsia="en-US"/>
    </w:rPr>
  </w:style>
  <w:style w:type="paragraph" w:styleId="CommentText">
    <w:name w:val="annotation text"/>
    <w:basedOn w:val="Normal"/>
    <w:link w:val="CommentTextChar"/>
    <w:semiHidden/>
    <w:unhideWhenUsed/>
    <w:rsid w:val="00DF27CE"/>
    <w:rPr>
      <w:sz w:val="20"/>
    </w:rPr>
  </w:style>
  <w:style w:type="character" w:customStyle="1" w:styleId="CommentTextChar">
    <w:name w:val="Comment Text Char"/>
    <w:basedOn w:val="DefaultParagraphFont"/>
    <w:link w:val="CommentText"/>
    <w:semiHidden/>
    <w:rsid w:val="00DF27CE"/>
    <w:rPr>
      <w:rFonts w:ascii="Arial" w:hAnsi="Arial"/>
      <w:lang w:eastAsia="en-US"/>
    </w:rPr>
  </w:style>
  <w:style w:type="character" w:customStyle="1" w:styleId="HeaderChar">
    <w:name w:val="Header Char"/>
    <w:basedOn w:val="DefaultParagraphFont"/>
    <w:link w:val="Header"/>
    <w:uiPriority w:val="99"/>
    <w:rsid w:val="00DF27CE"/>
    <w:rPr>
      <w:rFonts w:ascii="Arial" w:hAnsi="Arial"/>
      <w:sz w:val="24"/>
      <w:lang w:eastAsia="en-US"/>
    </w:rPr>
  </w:style>
  <w:style w:type="character" w:customStyle="1" w:styleId="FooterChar">
    <w:name w:val="Footer Char"/>
    <w:basedOn w:val="DefaultParagraphFont"/>
    <w:link w:val="Footer"/>
    <w:uiPriority w:val="99"/>
    <w:rsid w:val="00DF27CE"/>
    <w:rPr>
      <w:rFonts w:ascii="Arial" w:hAnsi="Arial"/>
      <w:sz w:val="24"/>
      <w:szCs w:val="24"/>
      <w:lang w:val="en-US" w:eastAsia="en-US"/>
    </w:rPr>
  </w:style>
  <w:style w:type="paragraph" w:styleId="BodyTextIndent">
    <w:name w:val="Body Text Indent"/>
    <w:basedOn w:val="Normal"/>
    <w:link w:val="BodyTextIndentChar"/>
    <w:semiHidden/>
    <w:unhideWhenUsed/>
    <w:rsid w:val="00DF27CE"/>
    <w:pPr>
      <w:ind w:left="289" w:hanging="5"/>
      <w:jc w:val="both"/>
    </w:pPr>
    <w:rPr>
      <w:rFonts w:cs="Arial"/>
      <w:szCs w:val="22"/>
    </w:rPr>
  </w:style>
  <w:style w:type="character" w:customStyle="1" w:styleId="BodyTextIndentChar">
    <w:name w:val="Body Text Indent Char"/>
    <w:basedOn w:val="DefaultParagraphFont"/>
    <w:link w:val="BodyTextIndent"/>
    <w:semiHidden/>
    <w:rsid w:val="00DF27CE"/>
    <w:rPr>
      <w:rFonts w:ascii="Arial" w:hAnsi="Arial" w:cs="Arial"/>
      <w:sz w:val="24"/>
      <w:szCs w:val="22"/>
      <w:lang w:eastAsia="en-US"/>
    </w:rPr>
  </w:style>
  <w:style w:type="paragraph" w:styleId="BodyText2">
    <w:name w:val="Body Text 2"/>
    <w:basedOn w:val="Normal"/>
    <w:link w:val="BodyText2Char"/>
    <w:semiHidden/>
    <w:unhideWhenUsed/>
    <w:rsid w:val="00DF27CE"/>
    <w:pPr>
      <w:spacing w:before="90"/>
      <w:jc w:val="both"/>
    </w:pPr>
    <w:rPr>
      <w:rFonts w:cs="Arial"/>
      <w:sz w:val="20"/>
      <w:szCs w:val="22"/>
    </w:rPr>
  </w:style>
  <w:style w:type="character" w:customStyle="1" w:styleId="BodyText2Char">
    <w:name w:val="Body Text 2 Char"/>
    <w:basedOn w:val="DefaultParagraphFont"/>
    <w:link w:val="BodyText2"/>
    <w:semiHidden/>
    <w:rsid w:val="00DF27CE"/>
    <w:rPr>
      <w:rFonts w:ascii="Arial" w:hAnsi="Arial" w:cs="Arial"/>
      <w:szCs w:val="22"/>
      <w:lang w:eastAsia="en-US"/>
    </w:rPr>
  </w:style>
  <w:style w:type="paragraph" w:styleId="BodyText3">
    <w:name w:val="Body Text 3"/>
    <w:basedOn w:val="Normal"/>
    <w:link w:val="BodyText3Char"/>
    <w:semiHidden/>
    <w:unhideWhenUsed/>
    <w:rsid w:val="00DF27CE"/>
    <w:pPr>
      <w:spacing w:after="120"/>
    </w:pPr>
    <w:rPr>
      <w:sz w:val="16"/>
      <w:szCs w:val="16"/>
    </w:rPr>
  </w:style>
  <w:style w:type="character" w:customStyle="1" w:styleId="BodyText3Char">
    <w:name w:val="Body Text 3 Char"/>
    <w:basedOn w:val="DefaultParagraphFont"/>
    <w:link w:val="BodyText3"/>
    <w:semiHidden/>
    <w:rsid w:val="00DF27CE"/>
    <w:rPr>
      <w:rFonts w:ascii="Arial" w:hAnsi="Arial"/>
      <w:sz w:val="16"/>
      <w:szCs w:val="16"/>
      <w:lang w:eastAsia="en-US"/>
    </w:rPr>
  </w:style>
  <w:style w:type="paragraph" w:styleId="BodyTextIndent2">
    <w:name w:val="Body Text Indent 2"/>
    <w:basedOn w:val="Normal"/>
    <w:link w:val="BodyTextIndent2Char"/>
    <w:semiHidden/>
    <w:unhideWhenUsed/>
    <w:rsid w:val="00DF27CE"/>
    <w:pPr>
      <w:spacing w:after="120" w:line="480" w:lineRule="auto"/>
      <w:ind w:left="283"/>
    </w:pPr>
  </w:style>
  <w:style w:type="character" w:customStyle="1" w:styleId="BodyTextIndent2Char">
    <w:name w:val="Body Text Indent 2 Char"/>
    <w:basedOn w:val="DefaultParagraphFont"/>
    <w:link w:val="BodyTextIndent2"/>
    <w:semiHidden/>
    <w:rsid w:val="00DF27CE"/>
    <w:rPr>
      <w:rFonts w:ascii="Arial" w:hAnsi="Arial"/>
      <w:sz w:val="24"/>
      <w:lang w:eastAsia="en-US"/>
    </w:rPr>
  </w:style>
  <w:style w:type="paragraph" w:styleId="BodyTextIndent3">
    <w:name w:val="Body Text Indent 3"/>
    <w:basedOn w:val="Normal"/>
    <w:link w:val="BodyTextIndent3Char"/>
    <w:semiHidden/>
    <w:unhideWhenUsed/>
    <w:rsid w:val="00DF27CE"/>
    <w:pPr>
      <w:spacing w:after="120"/>
      <w:ind w:left="283"/>
    </w:pPr>
    <w:rPr>
      <w:sz w:val="16"/>
      <w:szCs w:val="16"/>
    </w:rPr>
  </w:style>
  <w:style w:type="character" w:customStyle="1" w:styleId="BodyTextIndent3Char">
    <w:name w:val="Body Text Indent 3 Char"/>
    <w:basedOn w:val="DefaultParagraphFont"/>
    <w:link w:val="BodyTextIndent3"/>
    <w:semiHidden/>
    <w:rsid w:val="00DF27CE"/>
    <w:rPr>
      <w:rFonts w:ascii="Arial" w:hAnsi="Arial"/>
      <w:sz w:val="16"/>
      <w:szCs w:val="16"/>
      <w:lang w:eastAsia="en-US"/>
    </w:rPr>
  </w:style>
  <w:style w:type="paragraph" w:styleId="DocumentMap">
    <w:name w:val="Document Map"/>
    <w:basedOn w:val="Normal"/>
    <w:link w:val="DocumentMapChar"/>
    <w:semiHidden/>
    <w:unhideWhenUsed/>
    <w:rsid w:val="00DF27CE"/>
    <w:pPr>
      <w:shd w:val="clear" w:color="auto" w:fill="000080"/>
    </w:pPr>
    <w:rPr>
      <w:rFonts w:ascii="Tahoma" w:hAnsi="Tahoma" w:cs="Tahoma"/>
    </w:rPr>
  </w:style>
  <w:style w:type="character" w:customStyle="1" w:styleId="DocumentMapChar">
    <w:name w:val="Document Map Char"/>
    <w:basedOn w:val="DefaultParagraphFont"/>
    <w:link w:val="DocumentMap"/>
    <w:semiHidden/>
    <w:rsid w:val="00DF27CE"/>
    <w:rPr>
      <w:rFonts w:ascii="Tahoma" w:hAnsi="Tahoma" w:cs="Tahoma"/>
      <w:sz w:val="24"/>
      <w:shd w:val="clear" w:color="auto" w:fill="000080"/>
      <w:lang w:eastAsia="en-US"/>
    </w:rPr>
  </w:style>
  <w:style w:type="paragraph" w:styleId="CommentSubject">
    <w:name w:val="annotation subject"/>
    <w:basedOn w:val="CommentText"/>
    <w:next w:val="CommentText"/>
    <w:link w:val="CommentSubjectChar"/>
    <w:semiHidden/>
    <w:unhideWhenUsed/>
    <w:rsid w:val="00DF27CE"/>
    <w:rPr>
      <w:b/>
      <w:bCs/>
    </w:rPr>
  </w:style>
  <w:style w:type="character" w:customStyle="1" w:styleId="CommentSubjectChar">
    <w:name w:val="Comment Subject Char"/>
    <w:basedOn w:val="CommentTextChar"/>
    <w:link w:val="CommentSubject"/>
    <w:semiHidden/>
    <w:rsid w:val="00DF27CE"/>
    <w:rPr>
      <w:rFonts w:ascii="Arial" w:hAnsi="Arial"/>
      <w:b/>
      <w:bCs/>
      <w:lang w:eastAsia="en-US"/>
    </w:rPr>
  </w:style>
  <w:style w:type="paragraph" w:styleId="NoSpacing">
    <w:name w:val="No Spacing"/>
    <w:uiPriority w:val="1"/>
    <w:qFormat/>
    <w:rsid w:val="00DF27CE"/>
    <w:rPr>
      <w:rFonts w:asciiTheme="minorHAnsi" w:eastAsiaTheme="minorHAnsi" w:hAnsiTheme="minorHAnsi" w:cstheme="minorBidi"/>
      <w:sz w:val="22"/>
      <w:szCs w:val="22"/>
      <w:lang w:eastAsia="en-US"/>
    </w:rPr>
  </w:style>
  <w:style w:type="paragraph" w:customStyle="1" w:styleId="CharCharCharChar3">
    <w:name w:val="Char Char Char Char3"/>
    <w:basedOn w:val="Normal"/>
    <w:locked/>
    <w:rsid w:val="00DF27CE"/>
    <w:pPr>
      <w:spacing w:after="160" w:line="240" w:lineRule="exact"/>
    </w:pPr>
    <w:rPr>
      <w:rFonts w:ascii="Verdana" w:hAnsi="Verdana"/>
      <w:sz w:val="20"/>
      <w:lang w:val="en-US"/>
    </w:rPr>
  </w:style>
  <w:style w:type="paragraph" w:customStyle="1" w:styleId="CharCharCharChar2">
    <w:name w:val="Char Char Char Char2"/>
    <w:basedOn w:val="Normal"/>
    <w:locked/>
    <w:rsid w:val="00DF27CE"/>
    <w:pPr>
      <w:spacing w:after="160" w:line="240" w:lineRule="exact"/>
    </w:pPr>
    <w:rPr>
      <w:rFonts w:ascii="Verdana" w:hAnsi="Verdana"/>
      <w:sz w:val="20"/>
      <w:lang w:val="en-US"/>
    </w:rPr>
  </w:style>
  <w:style w:type="paragraph" w:customStyle="1" w:styleId="CharCharCharChar1">
    <w:name w:val="Char Char Char Char1"/>
    <w:basedOn w:val="Normal"/>
    <w:locked/>
    <w:rsid w:val="00DF27CE"/>
    <w:pPr>
      <w:spacing w:after="160" w:line="240" w:lineRule="exact"/>
    </w:pPr>
    <w:rPr>
      <w:rFonts w:ascii="Verdana" w:hAnsi="Verdana"/>
      <w:sz w:val="20"/>
      <w:lang w:val="en-US"/>
    </w:rPr>
  </w:style>
  <w:style w:type="character" w:customStyle="1" w:styleId="ChapterHeadingChar">
    <w:name w:val="Chapter Heading Char"/>
    <w:link w:val="ChapterHeading"/>
    <w:uiPriority w:val="99"/>
    <w:semiHidden/>
    <w:locked/>
    <w:rsid w:val="00DF27CE"/>
    <w:rPr>
      <w:rFonts w:ascii="Calibri" w:hAnsi="Calibri" w:cs="Arial"/>
      <w:b/>
      <w:noProof/>
      <w:spacing w:val="-5"/>
      <w:sz w:val="36"/>
      <w:szCs w:val="36"/>
      <w:lang w:eastAsia="en-US"/>
    </w:rPr>
  </w:style>
  <w:style w:type="paragraph" w:customStyle="1" w:styleId="Style12ptJustified">
    <w:name w:val="Style 12 pt Justified"/>
    <w:basedOn w:val="Normal"/>
    <w:rsid w:val="00DF27CE"/>
  </w:style>
  <w:style w:type="paragraph" w:customStyle="1" w:styleId="Style12ptLinespacing15lines">
    <w:name w:val="Style 12 pt Line spacing:  1.5 lines"/>
    <w:basedOn w:val="Normal"/>
    <w:rsid w:val="00DF27CE"/>
  </w:style>
  <w:style w:type="paragraph" w:customStyle="1" w:styleId="Style12ptJustified1">
    <w:name w:val="Style 12 pt Justified1"/>
    <w:basedOn w:val="Normal"/>
    <w:rsid w:val="00DF27CE"/>
  </w:style>
  <w:style w:type="paragraph" w:customStyle="1" w:styleId="Style12ptJustified2">
    <w:name w:val="Style 12 pt Justified2"/>
    <w:basedOn w:val="Normal"/>
    <w:rsid w:val="00DF27CE"/>
  </w:style>
  <w:style w:type="paragraph" w:customStyle="1" w:styleId="Style12ptJustified3">
    <w:name w:val="Style 12 pt Justified3"/>
    <w:basedOn w:val="Normal"/>
    <w:rsid w:val="00DF27CE"/>
  </w:style>
  <w:style w:type="paragraph" w:customStyle="1" w:styleId="StyleJustified">
    <w:name w:val="Style Justified"/>
    <w:basedOn w:val="Normal"/>
    <w:next w:val="Normal"/>
    <w:rsid w:val="00DF27CE"/>
    <w:rPr>
      <w:szCs w:val="24"/>
    </w:rPr>
  </w:style>
  <w:style w:type="paragraph" w:customStyle="1" w:styleId="infotext0">
    <w:name w:val="infotext"/>
    <w:basedOn w:val="Normal"/>
    <w:rsid w:val="00DF27CE"/>
    <w:pPr>
      <w:spacing w:before="100" w:beforeAutospacing="1" w:after="100" w:afterAutospacing="1"/>
    </w:pPr>
    <w:rPr>
      <w:rFonts w:ascii="Times New Roman" w:hAnsi="Times New Roman"/>
      <w:szCs w:val="24"/>
      <w:lang w:val="en-US"/>
    </w:rPr>
  </w:style>
  <w:style w:type="paragraph" w:customStyle="1" w:styleId="xl25">
    <w:name w:val="xl25"/>
    <w:basedOn w:val="Normal"/>
    <w:rsid w:val="00DF27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szCs w:val="24"/>
    </w:rPr>
  </w:style>
  <w:style w:type="paragraph" w:customStyle="1" w:styleId="xl35">
    <w:name w:val="xl35"/>
    <w:basedOn w:val="Normal"/>
    <w:rsid w:val="00DF27C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Cs w:val="24"/>
    </w:rPr>
  </w:style>
  <w:style w:type="paragraph" w:customStyle="1" w:styleId="xl36">
    <w:name w:val="xl36"/>
    <w:basedOn w:val="Normal"/>
    <w:rsid w:val="00DF27CE"/>
    <w:pPr>
      <w:pBdr>
        <w:left w:val="single" w:sz="4" w:space="0" w:color="auto"/>
        <w:right w:val="single" w:sz="4" w:space="0" w:color="auto"/>
      </w:pBdr>
      <w:spacing w:before="100" w:beforeAutospacing="1" w:after="100" w:afterAutospacing="1"/>
    </w:pPr>
    <w:rPr>
      <w:rFonts w:eastAsia="Arial Unicode MS" w:cs="Arial"/>
      <w:szCs w:val="24"/>
    </w:rPr>
  </w:style>
  <w:style w:type="paragraph" w:customStyle="1" w:styleId="CharChar1Char">
    <w:name w:val="Char Char1 Char"/>
    <w:basedOn w:val="Normal"/>
    <w:rsid w:val="00DF27CE"/>
    <w:pPr>
      <w:spacing w:after="160" w:line="240" w:lineRule="exact"/>
    </w:pPr>
    <w:rPr>
      <w:rFonts w:ascii="Tahoma" w:hAnsi="Tahoma"/>
      <w:sz w:val="20"/>
      <w:lang w:eastAsia="en-GB"/>
    </w:rPr>
  </w:style>
  <w:style w:type="paragraph" w:customStyle="1" w:styleId="Pa5">
    <w:name w:val="Pa5"/>
    <w:basedOn w:val="Normal"/>
    <w:next w:val="Normal"/>
    <w:rsid w:val="00DF27CE"/>
    <w:pPr>
      <w:autoSpaceDE w:val="0"/>
      <w:autoSpaceDN w:val="0"/>
      <w:adjustRightInd w:val="0"/>
      <w:spacing w:line="221" w:lineRule="atLeast"/>
    </w:pPr>
    <w:rPr>
      <w:rFonts w:ascii="Bliss 2 Light" w:hAnsi="Bliss 2 Light"/>
      <w:szCs w:val="24"/>
      <w:lang w:val="en-US"/>
    </w:rPr>
  </w:style>
  <w:style w:type="paragraph" w:customStyle="1" w:styleId="Pa6">
    <w:name w:val="Pa6"/>
    <w:basedOn w:val="Normal"/>
    <w:next w:val="Normal"/>
    <w:rsid w:val="00DF27CE"/>
    <w:pPr>
      <w:autoSpaceDE w:val="0"/>
      <w:autoSpaceDN w:val="0"/>
      <w:adjustRightInd w:val="0"/>
      <w:spacing w:line="201" w:lineRule="atLeast"/>
    </w:pPr>
    <w:rPr>
      <w:rFonts w:ascii="Bliss 2 Light" w:hAnsi="Bliss 2 Light"/>
      <w:szCs w:val="24"/>
      <w:lang w:val="en-US"/>
    </w:rPr>
  </w:style>
  <w:style w:type="paragraph" w:customStyle="1" w:styleId="Default">
    <w:name w:val="Default"/>
    <w:rsid w:val="00DF27CE"/>
    <w:pPr>
      <w:widowControl w:val="0"/>
      <w:autoSpaceDE w:val="0"/>
      <w:autoSpaceDN w:val="0"/>
      <w:adjustRightInd w:val="0"/>
    </w:pPr>
    <w:rPr>
      <w:rFonts w:ascii="CPAFB D+ Optima" w:hAnsi="CPAFB D+ Optima"/>
      <w:color w:val="000000"/>
      <w:sz w:val="24"/>
      <w:szCs w:val="24"/>
    </w:rPr>
  </w:style>
  <w:style w:type="paragraph" w:customStyle="1" w:styleId="introduction">
    <w:name w:val="introduction"/>
    <w:basedOn w:val="Normal"/>
    <w:rsid w:val="00DF27CE"/>
    <w:pPr>
      <w:spacing w:before="100" w:beforeAutospacing="1" w:after="100" w:afterAutospacing="1"/>
    </w:pPr>
    <w:rPr>
      <w:rFonts w:ascii="Times New Roman" w:hAnsi="Times New Roman"/>
      <w:szCs w:val="24"/>
      <w:lang w:val="en-US"/>
    </w:rPr>
  </w:style>
  <w:style w:type="paragraph" w:customStyle="1" w:styleId="NormalSm">
    <w:name w:val="NormalSm"/>
    <w:basedOn w:val="Normal"/>
    <w:rsid w:val="00DF27CE"/>
    <w:pPr>
      <w:spacing w:after="260" w:line="260" w:lineRule="atLeast"/>
    </w:pPr>
    <w:rPr>
      <w:rFonts w:ascii="Foundry Sans" w:hAnsi="Foundry Sans"/>
      <w:szCs w:val="24"/>
      <w:lang w:eastAsia="en-GB"/>
    </w:rPr>
  </w:style>
  <w:style w:type="character" w:styleId="CommentReference">
    <w:name w:val="annotation reference"/>
    <w:semiHidden/>
    <w:unhideWhenUsed/>
    <w:rsid w:val="00DF27CE"/>
    <w:rPr>
      <w:sz w:val="16"/>
      <w:szCs w:val="16"/>
    </w:rPr>
  </w:style>
  <w:style w:type="table" w:styleId="TableColumns5">
    <w:name w:val="Table Columns 5"/>
    <w:basedOn w:val="TableNormal"/>
    <w:semiHidden/>
    <w:unhideWhenUsed/>
    <w:rsid w:val="00DF27CE"/>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GridTable1Light">
    <w:name w:val="Grid Table 1 Light"/>
    <w:basedOn w:val="TableNormal"/>
    <w:uiPriority w:val="46"/>
    <w:rsid w:val="00DF27CE"/>
    <w:rPr>
      <w:rFonts w:asciiTheme="minorHAnsi" w:eastAsiaTheme="minorHAnsi" w:hAnsiTheme="minorHAnsi" w:cstheme="minorBidi"/>
      <w:sz w:val="22"/>
      <w:szCs w:val="22"/>
      <w:lang w:eastAsia="en-US"/>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6Colourful">
    <w:name w:val="Grid Table 6 Colorful"/>
    <w:basedOn w:val="TableNormal"/>
    <w:uiPriority w:val="51"/>
    <w:rsid w:val="00DF27CE"/>
    <w:rPr>
      <w:rFonts w:asciiTheme="minorHAnsi" w:eastAsiaTheme="minorHAnsi" w:hAnsiTheme="minorHAnsi" w:cstheme="minorBidi"/>
      <w:color w:val="000000" w:themeColor="text1"/>
      <w:sz w:val="22"/>
      <w:szCs w:val="22"/>
      <w:lang w:eastAsia="en-US"/>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Columns51">
    <w:name w:val="Table Columns 51"/>
    <w:basedOn w:val="TableNormal"/>
    <w:rsid w:val="00DF27CE"/>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lumns52">
    <w:name w:val="Table Columns 52"/>
    <w:basedOn w:val="TableNormal"/>
    <w:rsid w:val="00DF27CE"/>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lumns511">
    <w:name w:val="Table Columns 511"/>
    <w:basedOn w:val="TableNormal"/>
    <w:rsid w:val="00DF27CE"/>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MediumGrid3-Accent12">
    <w:name w:val="Medium Grid 3 - Accent 12"/>
    <w:basedOn w:val="TableNormal"/>
    <w:uiPriority w:val="69"/>
    <w:rsid w:val="00DF27CE"/>
    <w:rPr>
      <w:rFonts w:ascii="Foundry Sans" w:hAnsi="Foundry Sans"/>
      <w:sz w:val="24"/>
      <w:szCs w:val="24"/>
      <w:lang w:eastAsia="en-US"/>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ascii="Foundry Sans" w:hAnsi="Foundry Sans" w:cs="Times New Roman" w:hint="default"/>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ascii="Foundry Sans" w:hAnsi="Foundry Sans" w:cs="Times New Roman" w:hint="default"/>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ascii="Foundry Sans" w:hAnsi="Foundry Sans" w:cs="Times New Roman" w:hint="default"/>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ascii="Foundry Sans" w:hAnsi="Foundry Sans" w:cs="Times New Roman" w:hint="default"/>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ascii="Foundry Sans" w:hAnsi="Foundry Sans" w:cs="Times New Roman" w:hint="default"/>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style>
  <w:style w:type="character" w:customStyle="1" w:styleId="A15">
    <w:name w:val="A15"/>
    <w:uiPriority w:val="99"/>
    <w:rsid w:val="00DA708D"/>
    <w:rPr>
      <w:rFonts w:cs="Muli Light"/>
      <w:color w:val="000000"/>
      <w:sz w:val="20"/>
      <w:szCs w:val="20"/>
    </w:rPr>
  </w:style>
  <w:style w:type="paragraph" w:styleId="ListBullet">
    <w:name w:val="List Bullet"/>
    <w:basedOn w:val="Normal"/>
    <w:uiPriority w:val="2"/>
    <w:qFormat/>
    <w:rsid w:val="00BD5396"/>
    <w:pPr>
      <w:numPr>
        <w:numId w:val="1"/>
      </w:numPr>
      <w:spacing w:before="120" w:after="120"/>
    </w:pPr>
    <w:rPr>
      <w:rFonts w:eastAsia="Arial"/>
      <w:color w:val="4E4E50"/>
      <w:sz w:val="22"/>
      <w:szCs w:val="22"/>
      <w:lang w:val="en-AU"/>
    </w:rPr>
  </w:style>
  <w:style w:type="paragraph" w:customStyle="1" w:styleId="BulletTypeA">
    <w:name w:val="Bullet Type A"/>
    <w:basedOn w:val="ListBullet"/>
    <w:rsid w:val="00BD5396"/>
    <w:pPr>
      <w:tabs>
        <w:tab w:val="clear" w:pos="360"/>
      </w:tabs>
      <w:spacing w:before="0"/>
      <w:ind w:left="2724"/>
      <w:jc w:val="both"/>
    </w:pPr>
    <w:rPr>
      <w:rFonts w:ascii="Optima LT Std" w:eastAsiaTheme="minorHAnsi" w:hAnsi="Optima LT Std" w:cstheme="minorBidi"/>
      <w:color w:val="auto"/>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6142">
      <w:bodyDiv w:val="1"/>
      <w:marLeft w:val="0"/>
      <w:marRight w:val="0"/>
      <w:marTop w:val="0"/>
      <w:marBottom w:val="0"/>
      <w:divBdr>
        <w:top w:val="none" w:sz="0" w:space="0" w:color="auto"/>
        <w:left w:val="none" w:sz="0" w:space="0" w:color="auto"/>
        <w:bottom w:val="none" w:sz="0" w:space="0" w:color="auto"/>
        <w:right w:val="none" w:sz="0" w:space="0" w:color="auto"/>
      </w:divBdr>
    </w:div>
    <w:div w:id="53624913">
      <w:bodyDiv w:val="1"/>
      <w:marLeft w:val="0"/>
      <w:marRight w:val="0"/>
      <w:marTop w:val="0"/>
      <w:marBottom w:val="0"/>
      <w:divBdr>
        <w:top w:val="none" w:sz="0" w:space="0" w:color="auto"/>
        <w:left w:val="none" w:sz="0" w:space="0" w:color="auto"/>
        <w:bottom w:val="none" w:sz="0" w:space="0" w:color="auto"/>
        <w:right w:val="none" w:sz="0" w:space="0" w:color="auto"/>
      </w:divBdr>
    </w:div>
    <w:div w:id="89279085">
      <w:bodyDiv w:val="1"/>
      <w:marLeft w:val="0"/>
      <w:marRight w:val="0"/>
      <w:marTop w:val="0"/>
      <w:marBottom w:val="0"/>
      <w:divBdr>
        <w:top w:val="none" w:sz="0" w:space="0" w:color="auto"/>
        <w:left w:val="none" w:sz="0" w:space="0" w:color="auto"/>
        <w:bottom w:val="none" w:sz="0" w:space="0" w:color="auto"/>
        <w:right w:val="none" w:sz="0" w:space="0" w:color="auto"/>
      </w:divBdr>
    </w:div>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44248593">
      <w:bodyDiv w:val="1"/>
      <w:marLeft w:val="0"/>
      <w:marRight w:val="0"/>
      <w:marTop w:val="0"/>
      <w:marBottom w:val="0"/>
      <w:divBdr>
        <w:top w:val="none" w:sz="0" w:space="0" w:color="auto"/>
        <w:left w:val="none" w:sz="0" w:space="0" w:color="auto"/>
        <w:bottom w:val="none" w:sz="0" w:space="0" w:color="auto"/>
        <w:right w:val="none" w:sz="0" w:space="0" w:color="auto"/>
      </w:divBdr>
    </w:div>
    <w:div w:id="150368477">
      <w:bodyDiv w:val="1"/>
      <w:marLeft w:val="0"/>
      <w:marRight w:val="0"/>
      <w:marTop w:val="0"/>
      <w:marBottom w:val="0"/>
      <w:divBdr>
        <w:top w:val="none" w:sz="0" w:space="0" w:color="auto"/>
        <w:left w:val="none" w:sz="0" w:space="0" w:color="auto"/>
        <w:bottom w:val="none" w:sz="0" w:space="0" w:color="auto"/>
        <w:right w:val="none" w:sz="0" w:space="0" w:color="auto"/>
      </w:divBdr>
    </w:div>
    <w:div w:id="195503352">
      <w:bodyDiv w:val="1"/>
      <w:marLeft w:val="0"/>
      <w:marRight w:val="0"/>
      <w:marTop w:val="0"/>
      <w:marBottom w:val="0"/>
      <w:divBdr>
        <w:top w:val="none" w:sz="0" w:space="0" w:color="auto"/>
        <w:left w:val="none" w:sz="0" w:space="0" w:color="auto"/>
        <w:bottom w:val="none" w:sz="0" w:space="0" w:color="auto"/>
        <w:right w:val="none" w:sz="0" w:space="0" w:color="auto"/>
      </w:divBdr>
    </w:div>
    <w:div w:id="233587664">
      <w:bodyDiv w:val="1"/>
      <w:marLeft w:val="0"/>
      <w:marRight w:val="0"/>
      <w:marTop w:val="0"/>
      <w:marBottom w:val="0"/>
      <w:divBdr>
        <w:top w:val="none" w:sz="0" w:space="0" w:color="auto"/>
        <w:left w:val="none" w:sz="0" w:space="0" w:color="auto"/>
        <w:bottom w:val="none" w:sz="0" w:space="0" w:color="auto"/>
        <w:right w:val="none" w:sz="0" w:space="0" w:color="auto"/>
      </w:divBdr>
    </w:div>
    <w:div w:id="289216030">
      <w:bodyDiv w:val="1"/>
      <w:marLeft w:val="0"/>
      <w:marRight w:val="0"/>
      <w:marTop w:val="0"/>
      <w:marBottom w:val="0"/>
      <w:divBdr>
        <w:top w:val="none" w:sz="0" w:space="0" w:color="auto"/>
        <w:left w:val="none" w:sz="0" w:space="0" w:color="auto"/>
        <w:bottom w:val="none" w:sz="0" w:space="0" w:color="auto"/>
        <w:right w:val="none" w:sz="0" w:space="0" w:color="auto"/>
      </w:divBdr>
    </w:div>
    <w:div w:id="376927883">
      <w:bodyDiv w:val="1"/>
      <w:marLeft w:val="0"/>
      <w:marRight w:val="0"/>
      <w:marTop w:val="0"/>
      <w:marBottom w:val="0"/>
      <w:divBdr>
        <w:top w:val="none" w:sz="0" w:space="0" w:color="auto"/>
        <w:left w:val="none" w:sz="0" w:space="0" w:color="auto"/>
        <w:bottom w:val="none" w:sz="0" w:space="0" w:color="auto"/>
        <w:right w:val="none" w:sz="0" w:space="0" w:color="auto"/>
      </w:divBdr>
    </w:div>
    <w:div w:id="444426283">
      <w:bodyDiv w:val="1"/>
      <w:marLeft w:val="0"/>
      <w:marRight w:val="0"/>
      <w:marTop w:val="0"/>
      <w:marBottom w:val="0"/>
      <w:divBdr>
        <w:top w:val="none" w:sz="0" w:space="0" w:color="auto"/>
        <w:left w:val="none" w:sz="0" w:space="0" w:color="auto"/>
        <w:bottom w:val="none" w:sz="0" w:space="0" w:color="auto"/>
        <w:right w:val="none" w:sz="0" w:space="0" w:color="auto"/>
      </w:divBdr>
    </w:div>
    <w:div w:id="453519780">
      <w:bodyDiv w:val="1"/>
      <w:marLeft w:val="0"/>
      <w:marRight w:val="0"/>
      <w:marTop w:val="0"/>
      <w:marBottom w:val="0"/>
      <w:divBdr>
        <w:top w:val="none" w:sz="0" w:space="0" w:color="auto"/>
        <w:left w:val="none" w:sz="0" w:space="0" w:color="auto"/>
        <w:bottom w:val="none" w:sz="0" w:space="0" w:color="auto"/>
        <w:right w:val="none" w:sz="0" w:space="0" w:color="auto"/>
      </w:divBdr>
    </w:div>
    <w:div w:id="465316982">
      <w:bodyDiv w:val="1"/>
      <w:marLeft w:val="0"/>
      <w:marRight w:val="0"/>
      <w:marTop w:val="0"/>
      <w:marBottom w:val="0"/>
      <w:divBdr>
        <w:top w:val="none" w:sz="0" w:space="0" w:color="auto"/>
        <w:left w:val="none" w:sz="0" w:space="0" w:color="auto"/>
        <w:bottom w:val="none" w:sz="0" w:space="0" w:color="auto"/>
        <w:right w:val="none" w:sz="0" w:space="0" w:color="auto"/>
      </w:divBdr>
    </w:div>
    <w:div w:id="501286052">
      <w:bodyDiv w:val="1"/>
      <w:marLeft w:val="0"/>
      <w:marRight w:val="0"/>
      <w:marTop w:val="0"/>
      <w:marBottom w:val="0"/>
      <w:divBdr>
        <w:top w:val="none" w:sz="0" w:space="0" w:color="auto"/>
        <w:left w:val="none" w:sz="0" w:space="0" w:color="auto"/>
        <w:bottom w:val="none" w:sz="0" w:space="0" w:color="auto"/>
        <w:right w:val="none" w:sz="0" w:space="0" w:color="auto"/>
      </w:divBdr>
    </w:div>
    <w:div w:id="507718276">
      <w:bodyDiv w:val="1"/>
      <w:marLeft w:val="0"/>
      <w:marRight w:val="0"/>
      <w:marTop w:val="0"/>
      <w:marBottom w:val="0"/>
      <w:divBdr>
        <w:top w:val="none" w:sz="0" w:space="0" w:color="auto"/>
        <w:left w:val="none" w:sz="0" w:space="0" w:color="auto"/>
        <w:bottom w:val="none" w:sz="0" w:space="0" w:color="auto"/>
        <w:right w:val="none" w:sz="0" w:space="0" w:color="auto"/>
      </w:divBdr>
    </w:div>
    <w:div w:id="537475369">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626661613">
      <w:bodyDiv w:val="1"/>
      <w:marLeft w:val="0"/>
      <w:marRight w:val="0"/>
      <w:marTop w:val="0"/>
      <w:marBottom w:val="0"/>
      <w:divBdr>
        <w:top w:val="none" w:sz="0" w:space="0" w:color="auto"/>
        <w:left w:val="none" w:sz="0" w:space="0" w:color="auto"/>
        <w:bottom w:val="none" w:sz="0" w:space="0" w:color="auto"/>
        <w:right w:val="none" w:sz="0" w:space="0" w:color="auto"/>
      </w:divBdr>
    </w:div>
    <w:div w:id="641813893">
      <w:bodyDiv w:val="1"/>
      <w:marLeft w:val="0"/>
      <w:marRight w:val="0"/>
      <w:marTop w:val="0"/>
      <w:marBottom w:val="0"/>
      <w:divBdr>
        <w:top w:val="none" w:sz="0" w:space="0" w:color="auto"/>
        <w:left w:val="none" w:sz="0" w:space="0" w:color="auto"/>
        <w:bottom w:val="none" w:sz="0" w:space="0" w:color="auto"/>
        <w:right w:val="none" w:sz="0" w:space="0" w:color="auto"/>
      </w:divBdr>
    </w:div>
    <w:div w:id="648752923">
      <w:bodyDiv w:val="1"/>
      <w:marLeft w:val="0"/>
      <w:marRight w:val="0"/>
      <w:marTop w:val="0"/>
      <w:marBottom w:val="0"/>
      <w:divBdr>
        <w:top w:val="none" w:sz="0" w:space="0" w:color="auto"/>
        <w:left w:val="none" w:sz="0" w:space="0" w:color="auto"/>
        <w:bottom w:val="none" w:sz="0" w:space="0" w:color="auto"/>
        <w:right w:val="none" w:sz="0" w:space="0" w:color="auto"/>
      </w:divBdr>
    </w:div>
    <w:div w:id="653950914">
      <w:bodyDiv w:val="1"/>
      <w:marLeft w:val="0"/>
      <w:marRight w:val="0"/>
      <w:marTop w:val="0"/>
      <w:marBottom w:val="0"/>
      <w:divBdr>
        <w:top w:val="none" w:sz="0" w:space="0" w:color="auto"/>
        <w:left w:val="none" w:sz="0" w:space="0" w:color="auto"/>
        <w:bottom w:val="none" w:sz="0" w:space="0" w:color="auto"/>
        <w:right w:val="none" w:sz="0" w:space="0" w:color="auto"/>
      </w:divBdr>
    </w:div>
    <w:div w:id="667946563">
      <w:bodyDiv w:val="1"/>
      <w:marLeft w:val="0"/>
      <w:marRight w:val="0"/>
      <w:marTop w:val="0"/>
      <w:marBottom w:val="0"/>
      <w:divBdr>
        <w:top w:val="none" w:sz="0" w:space="0" w:color="auto"/>
        <w:left w:val="none" w:sz="0" w:space="0" w:color="auto"/>
        <w:bottom w:val="none" w:sz="0" w:space="0" w:color="auto"/>
        <w:right w:val="none" w:sz="0" w:space="0" w:color="auto"/>
      </w:divBdr>
    </w:div>
    <w:div w:id="696658872">
      <w:bodyDiv w:val="1"/>
      <w:marLeft w:val="0"/>
      <w:marRight w:val="0"/>
      <w:marTop w:val="0"/>
      <w:marBottom w:val="0"/>
      <w:divBdr>
        <w:top w:val="none" w:sz="0" w:space="0" w:color="auto"/>
        <w:left w:val="none" w:sz="0" w:space="0" w:color="auto"/>
        <w:bottom w:val="none" w:sz="0" w:space="0" w:color="auto"/>
        <w:right w:val="none" w:sz="0" w:space="0" w:color="auto"/>
      </w:divBdr>
    </w:div>
    <w:div w:id="715542962">
      <w:bodyDiv w:val="1"/>
      <w:marLeft w:val="0"/>
      <w:marRight w:val="0"/>
      <w:marTop w:val="0"/>
      <w:marBottom w:val="0"/>
      <w:divBdr>
        <w:top w:val="none" w:sz="0" w:space="0" w:color="auto"/>
        <w:left w:val="none" w:sz="0" w:space="0" w:color="auto"/>
        <w:bottom w:val="none" w:sz="0" w:space="0" w:color="auto"/>
        <w:right w:val="none" w:sz="0" w:space="0" w:color="auto"/>
      </w:divBdr>
    </w:div>
    <w:div w:id="748816412">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774903490">
      <w:bodyDiv w:val="1"/>
      <w:marLeft w:val="0"/>
      <w:marRight w:val="0"/>
      <w:marTop w:val="0"/>
      <w:marBottom w:val="0"/>
      <w:divBdr>
        <w:top w:val="none" w:sz="0" w:space="0" w:color="auto"/>
        <w:left w:val="none" w:sz="0" w:space="0" w:color="auto"/>
        <w:bottom w:val="none" w:sz="0" w:space="0" w:color="auto"/>
        <w:right w:val="none" w:sz="0" w:space="0" w:color="auto"/>
      </w:divBdr>
    </w:div>
    <w:div w:id="803500206">
      <w:bodyDiv w:val="1"/>
      <w:marLeft w:val="0"/>
      <w:marRight w:val="0"/>
      <w:marTop w:val="0"/>
      <w:marBottom w:val="0"/>
      <w:divBdr>
        <w:top w:val="none" w:sz="0" w:space="0" w:color="auto"/>
        <w:left w:val="none" w:sz="0" w:space="0" w:color="auto"/>
        <w:bottom w:val="none" w:sz="0" w:space="0" w:color="auto"/>
        <w:right w:val="none" w:sz="0" w:space="0" w:color="auto"/>
      </w:divBdr>
    </w:div>
    <w:div w:id="803698803">
      <w:bodyDiv w:val="1"/>
      <w:marLeft w:val="0"/>
      <w:marRight w:val="0"/>
      <w:marTop w:val="0"/>
      <w:marBottom w:val="0"/>
      <w:divBdr>
        <w:top w:val="none" w:sz="0" w:space="0" w:color="auto"/>
        <w:left w:val="none" w:sz="0" w:space="0" w:color="auto"/>
        <w:bottom w:val="none" w:sz="0" w:space="0" w:color="auto"/>
        <w:right w:val="none" w:sz="0" w:space="0" w:color="auto"/>
      </w:divBdr>
    </w:div>
    <w:div w:id="821772913">
      <w:bodyDiv w:val="1"/>
      <w:marLeft w:val="0"/>
      <w:marRight w:val="0"/>
      <w:marTop w:val="0"/>
      <w:marBottom w:val="0"/>
      <w:divBdr>
        <w:top w:val="none" w:sz="0" w:space="0" w:color="auto"/>
        <w:left w:val="none" w:sz="0" w:space="0" w:color="auto"/>
        <w:bottom w:val="none" w:sz="0" w:space="0" w:color="auto"/>
        <w:right w:val="none" w:sz="0" w:space="0" w:color="auto"/>
      </w:divBdr>
    </w:div>
    <w:div w:id="878396050">
      <w:bodyDiv w:val="1"/>
      <w:marLeft w:val="0"/>
      <w:marRight w:val="0"/>
      <w:marTop w:val="0"/>
      <w:marBottom w:val="0"/>
      <w:divBdr>
        <w:top w:val="none" w:sz="0" w:space="0" w:color="auto"/>
        <w:left w:val="none" w:sz="0" w:space="0" w:color="auto"/>
        <w:bottom w:val="none" w:sz="0" w:space="0" w:color="auto"/>
        <w:right w:val="none" w:sz="0" w:space="0" w:color="auto"/>
      </w:divBdr>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32906724">
      <w:bodyDiv w:val="1"/>
      <w:marLeft w:val="0"/>
      <w:marRight w:val="0"/>
      <w:marTop w:val="0"/>
      <w:marBottom w:val="0"/>
      <w:divBdr>
        <w:top w:val="none" w:sz="0" w:space="0" w:color="auto"/>
        <w:left w:val="none" w:sz="0" w:space="0" w:color="auto"/>
        <w:bottom w:val="none" w:sz="0" w:space="0" w:color="auto"/>
        <w:right w:val="none" w:sz="0" w:space="0" w:color="auto"/>
      </w:divBdr>
    </w:div>
    <w:div w:id="944193217">
      <w:bodyDiv w:val="1"/>
      <w:marLeft w:val="0"/>
      <w:marRight w:val="0"/>
      <w:marTop w:val="0"/>
      <w:marBottom w:val="0"/>
      <w:divBdr>
        <w:top w:val="none" w:sz="0" w:space="0" w:color="auto"/>
        <w:left w:val="none" w:sz="0" w:space="0" w:color="auto"/>
        <w:bottom w:val="none" w:sz="0" w:space="0" w:color="auto"/>
        <w:right w:val="none" w:sz="0" w:space="0" w:color="auto"/>
      </w:divBdr>
    </w:div>
    <w:div w:id="968361054">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987636203">
      <w:bodyDiv w:val="1"/>
      <w:marLeft w:val="0"/>
      <w:marRight w:val="0"/>
      <w:marTop w:val="0"/>
      <w:marBottom w:val="0"/>
      <w:divBdr>
        <w:top w:val="none" w:sz="0" w:space="0" w:color="auto"/>
        <w:left w:val="none" w:sz="0" w:space="0" w:color="auto"/>
        <w:bottom w:val="none" w:sz="0" w:space="0" w:color="auto"/>
        <w:right w:val="none" w:sz="0" w:space="0" w:color="auto"/>
      </w:divBdr>
    </w:div>
    <w:div w:id="1003893367">
      <w:bodyDiv w:val="1"/>
      <w:marLeft w:val="0"/>
      <w:marRight w:val="0"/>
      <w:marTop w:val="0"/>
      <w:marBottom w:val="0"/>
      <w:divBdr>
        <w:top w:val="none" w:sz="0" w:space="0" w:color="auto"/>
        <w:left w:val="none" w:sz="0" w:space="0" w:color="auto"/>
        <w:bottom w:val="none" w:sz="0" w:space="0" w:color="auto"/>
        <w:right w:val="none" w:sz="0" w:space="0" w:color="auto"/>
      </w:divBdr>
    </w:div>
    <w:div w:id="1005594010">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051611887">
      <w:bodyDiv w:val="1"/>
      <w:marLeft w:val="0"/>
      <w:marRight w:val="0"/>
      <w:marTop w:val="0"/>
      <w:marBottom w:val="0"/>
      <w:divBdr>
        <w:top w:val="none" w:sz="0" w:space="0" w:color="auto"/>
        <w:left w:val="none" w:sz="0" w:space="0" w:color="auto"/>
        <w:bottom w:val="none" w:sz="0" w:space="0" w:color="auto"/>
        <w:right w:val="none" w:sz="0" w:space="0" w:color="auto"/>
      </w:divBdr>
    </w:div>
    <w:div w:id="1064376486">
      <w:bodyDiv w:val="1"/>
      <w:marLeft w:val="0"/>
      <w:marRight w:val="0"/>
      <w:marTop w:val="0"/>
      <w:marBottom w:val="0"/>
      <w:divBdr>
        <w:top w:val="none" w:sz="0" w:space="0" w:color="auto"/>
        <w:left w:val="none" w:sz="0" w:space="0" w:color="auto"/>
        <w:bottom w:val="none" w:sz="0" w:space="0" w:color="auto"/>
        <w:right w:val="none" w:sz="0" w:space="0" w:color="auto"/>
      </w:divBdr>
    </w:div>
    <w:div w:id="1068571444">
      <w:bodyDiv w:val="1"/>
      <w:marLeft w:val="0"/>
      <w:marRight w:val="0"/>
      <w:marTop w:val="0"/>
      <w:marBottom w:val="0"/>
      <w:divBdr>
        <w:top w:val="none" w:sz="0" w:space="0" w:color="auto"/>
        <w:left w:val="none" w:sz="0" w:space="0" w:color="auto"/>
        <w:bottom w:val="none" w:sz="0" w:space="0" w:color="auto"/>
        <w:right w:val="none" w:sz="0" w:space="0" w:color="auto"/>
      </w:divBdr>
    </w:div>
    <w:div w:id="1068768699">
      <w:bodyDiv w:val="1"/>
      <w:marLeft w:val="0"/>
      <w:marRight w:val="0"/>
      <w:marTop w:val="0"/>
      <w:marBottom w:val="0"/>
      <w:divBdr>
        <w:top w:val="none" w:sz="0" w:space="0" w:color="auto"/>
        <w:left w:val="none" w:sz="0" w:space="0" w:color="auto"/>
        <w:bottom w:val="none" w:sz="0" w:space="0" w:color="auto"/>
        <w:right w:val="none" w:sz="0" w:space="0" w:color="auto"/>
      </w:divBdr>
    </w:div>
    <w:div w:id="1076438457">
      <w:bodyDiv w:val="1"/>
      <w:marLeft w:val="0"/>
      <w:marRight w:val="0"/>
      <w:marTop w:val="0"/>
      <w:marBottom w:val="0"/>
      <w:divBdr>
        <w:top w:val="none" w:sz="0" w:space="0" w:color="auto"/>
        <w:left w:val="none" w:sz="0" w:space="0" w:color="auto"/>
        <w:bottom w:val="none" w:sz="0" w:space="0" w:color="auto"/>
        <w:right w:val="none" w:sz="0" w:space="0" w:color="auto"/>
      </w:divBdr>
    </w:div>
    <w:div w:id="1077748295">
      <w:bodyDiv w:val="1"/>
      <w:marLeft w:val="0"/>
      <w:marRight w:val="0"/>
      <w:marTop w:val="0"/>
      <w:marBottom w:val="0"/>
      <w:divBdr>
        <w:top w:val="none" w:sz="0" w:space="0" w:color="auto"/>
        <w:left w:val="none" w:sz="0" w:space="0" w:color="auto"/>
        <w:bottom w:val="none" w:sz="0" w:space="0" w:color="auto"/>
        <w:right w:val="none" w:sz="0" w:space="0" w:color="auto"/>
      </w:divBdr>
    </w:div>
    <w:div w:id="1161314533">
      <w:bodyDiv w:val="1"/>
      <w:marLeft w:val="0"/>
      <w:marRight w:val="0"/>
      <w:marTop w:val="0"/>
      <w:marBottom w:val="0"/>
      <w:divBdr>
        <w:top w:val="none" w:sz="0" w:space="0" w:color="auto"/>
        <w:left w:val="none" w:sz="0" w:space="0" w:color="auto"/>
        <w:bottom w:val="none" w:sz="0" w:space="0" w:color="auto"/>
        <w:right w:val="none" w:sz="0" w:space="0" w:color="auto"/>
      </w:divBdr>
    </w:div>
    <w:div w:id="1194419859">
      <w:bodyDiv w:val="1"/>
      <w:marLeft w:val="0"/>
      <w:marRight w:val="0"/>
      <w:marTop w:val="0"/>
      <w:marBottom w:val="0"/>
      <w:divBdr>
        <w:top w:val="none" w:sz="0" w:space="0" w:color="auto"/>
        <w:left w:val="none" w:sz="0" w:space="0" w:color="auto"/>
        <w:bottom w:val="none" w:sz="0" w:space="0" w:color="auto"/>
        <w:right w:val="none" w:sz="0" w:space="0" w:color="auto"/>
      </w:divBdr>
    </w:div>
    <w:div w:id="1211112890">
      <w:bodyDiv w:val="1"/>
      <w:marLeft w:val="0"/>
      <w:marRight w:val="0"/>
      <w:marTop w:val="0"/>
      <w:marBottom w:val="0"/>
      <w:divBdr>
        <w:top w:val="none" w:sz="0" w:space="0" w:color="auto"/>
        <w:left w:val="none" w:sz="0" w:space="0" w:color="auto"/>
        <w:bottom w:val="none" w:sz="0" w:space="0" w:color="auto"/>
        <w:right w:val="none" w:sz="0" w:space="0" w:color="auto"/>
      </w:divBdr>
    </w:div>
    <w:div w:id="1221749945">
      <w:bodyDiv w:val="1"/>
      <w:marLeft w:val="0"/>
      <w:marRight w:val="0"/>
      <w:marTop w:val="0"/>
      <w:marBottom w:val="0"/>
      <w:divBdr>
        <w:top w:val="none" w:sz="0" w:space="0" w:color="auto"/>
        <w:left w:val="none" w:sz="0" w:space="0" w:color="auto"/>
        <w:bottom w:val="none" w:sz="0" w:space="0" w:color="auto"/>
        <w:right w:val="none" w:sz="0" w:space="0" w:color="auto"/>
      </w:divBdr>
    </w:div>
    <w:div w:id="1264991838">
      <w:bodyDiv w:val="1"/>
      <w:marLeft w:val="0"/>
      <w:marRight w:val="0"/>
      <w:marTop w:val="0"/>
      <w:marBottom w:val="0"/>
      <w:divBdr>
        <w:top w:val="none" w:sz="0" w:space="0" w:color="auto"/>
        <w:left w:val="none" w:sz="0" w:space="0" w:color="auto"/>
        <w:bottom w:val="none" w:sz="0" w:space="0" w:color="auto"/>
        <w:right w:val="none" w:sz="0" w:space="0" w:color="auto"/>
      </w:divBdr>
    </w:div>
    <w:div w:id="1328821029">
      <w:bodyDiv w:val="1"/>
      <w:marLeft w:val="0"/>
      <w:marRight w:val="0"/>
      <w:marTop w:val="0"/>
      <w:marBottom w:val="0"/>
      <w:divBdr>
        <w:top w:val="none" w:sz="0" w:space="0" w:color="auto"/>
        <w:left w:val="none" w:sz="0" w:space="0" w:color="auto"/>
        <w:bottom w:val="none" w:sz="0" w:space="0" w:color="auto"/>
        <w:right w:val="none" w:sz="0" w:space="0" w:color="auto"/>
      </w:divBdr>
    </w:div>
    <w:div w:id="1345399394">
      <w:bodyDiv w:val="1"/>
      <w:marLeft w:val="0"/>
      <w:marRight w:val="0"/>
      <w:marTop w:val="0"/>
      <w:marBottom w:val="0"/>
      <w:divBdr>
        <w:top w:val="none" w:sz="0" w:space="0" w:color="auto"/>
        <w:left w:val="none" w:sz="0" w:space="0" w:color="auto"/>
        <w:bottom w:val="none" w:sz="0" w:space="0" w:color="auto"/>
        <w:right w:val="none" w:sz="0" w:space="0" w:color="auto"/>
      </w:divBdr>
    </w:div>
    <w:div w:id="1370914434">
      <w:bodyDiv w:val="1"/>
      <w:marLeft w:val="0"/>
      <w:marRight w:val="0"/>
      <w:marTop w:val="0"/>
      <w:marBottom w:val="0"/>
      <w:divBdr>
        <w:top w:val="none" w:sz="0" w:space="0" w:color="auto"/>
        <w:left w:val="none" w:sz="0" w:space="0" w:color="auto"/>
        <w:bottom w:val="none" w:sz="0" w:space="0" w:color="auto"/>
        <w:right w:val="none" w:sz="0" w:space="0" w:color="auto"/>
      </w:divBdr>
    </w:div>
    <w:div w:id="1503858435">
      <w:bodyDiv w:val="1"/>
      <w:marLeft w:val="0"/>
      <w:marRight w:val="0"/>
      <w:marTop w:val="0"/>
      <w:marBottom w:val="0"/>
      <w:divBdr>
        <w:top w:val="none" w:sz="0" w:space="0" w:color="auto"/>
        <w:left w:val="none" w:sz="0" w:space="0" w:color="auto"/>
        <w:bottom w:val="none" w:sz="0" w:space="0" w:color="auto"/>
        <w:right w:val="none" w:sz="0" w:space="0" w:color="auto"/>
      </w:divBdr>
    </w:div>
    <w:div w:id="1528830012">
      <w:bodyDiv w:val="1"/>
      <w:marLeft w:val="0"/>
      <w:marRight w:val="0"/>
      <w:marTop w:val="0"/>
      <w:marBottom w:val="0"/>
      <w:divBdr>
        <w:top w:val="none" w:sz="0" w:space="0" w:color="auto"/>
        <w:left w:val="none" w:sz="0" w:space="0" w:color="auto"/>
        <w:bottom w:val="none" w:sz="0" w:space="0" w:color="auto"/>
        <w:right w:val="none" w:sz="0" w:space="0" w:color="auto"/>
      </w:divBdr>
    </w:div>
    <w:div w:id="1591617285">
      <w:bodyDiv w:val="1"/>
      <w:marLeft w:val="0"/>
      <w:marRight w:val="0"/>
      <w:marTop w:val="0"/>
      <w:marBottom w:val="0"/>
      <w:divBdr>
        <w:top w:val="none" w:sz="0" w:space="0" w:color="auto"/>
        <w:left w:val="none" w:sz="0" w:space="0" w:color="auto"/>
        <w:bottom w:val="none" w:sz="0" w:space="0" w:color="auto"/>
        <w:right w:val="none" w:sz="0" w:space="0" w:color="auto"/>
      </w:divBdr>
    </w:div>
    <w:div w:id="1631401938">
      <w:bodyDiv w:val="1"/>
      <w:marLeft w:val="0"/>
      <w:marRight w:val="0"/>
      <w:marTop w:val="0"/>
      <w:marBottom w:val="0"/>
      <w:divBdr>
        <w:top w:val="none" w:sz="0" w:space="0" w:color="auto"/>
        <w:left w:val="none" w:sz="0" w:space="0" w:color="auto"/>
        <w:bottom w:val="none" w:sz="0" w:space="0" w:color="auto"/>
        <w:right w:val="none" w:sz="0" w:space="0" w:color="auto"/>
      </w:divBdr>
    </w:div>
    <w:div w:id="1651206180">
      <w:bodyDiv w:val="1"/>
      <w:marLeft w:val="0"/>
      <w:marRight w:val="0"/>
      <w:marTop w:val="0"/>
      <w:marBottom w:val="0"/>
      <w:divBdr>
        <w:top w:val="none" w:sz="0" w:space="0" w:color="auto"/>
        <w:left w:val="none" w:sz="0" w:space="0" w:color="auto"/>
        <w:bottom w:val="none" w:sz="0" w:space="0" w:color="auto"/>
        <w:right w:val="none" w:sz="0" w:space="0" w:color="auto"/>
      </w:divBdr>
    </w:div>
    <w:div w:id="1652756272">
      <w:bodyDiv w:val="1"/>
      <w:marLeft w:val="0"/>
      <w:marRight w:val="0"/>
      <w:marTop w:val="0"/>
      <w:marBottom w:val="0"/>
      <w:divBdr>
        <w:top w:val="none" w:sz="0" w:space="0" w:color="auto"/>
        <w:left w:val="none" w:sz="0" w:space="0" w:color="auto"/>
        <w:bottom w:val="none" w:sz="0" w:space="0" w:color="auto"/>
        <w:right w:val="none" w:sz="0" w:space="0" w:color="auto"/>
      </w:divBdr>
    </w:div>
    <w:div w:id="1703477321">
      <w:bodyDiv w:val="1"/>
      <w:marLeft w:val="0"/>
      <w:marRight w:val="0"/>
      <w:marTop w:val="0"/>
      <w:marBottom w:val="0"/>
      <w:divBdr>
        <w:top w:val="none" w:sz="0" w:space="0" w:color="auto"/>
        <w:left w:val="none" w:sz="0" w:space="0" w:color="auto"/>
        <w:bottom w:val="none" w:sz="0" w:space="0" w:color="auto"/>
        <w:right w:val="none" w:sz="0" w:space="0" w:color="auto"/>
      </w:divBdr>
    </w:div>
    <w:div w:id="1722365433">
      <w:bodyDiv w:val="1"/>
      <w:marLeft w:val="0"/>
      <w:marRight w:val="0"/>
      <w:marTop w:val="0"/>
      <w:marBottom w:val="0"/>
      <w:divBdr>
        <w:top w:val="none" w:sz="0" w:space="0" w:color="auto"/>
        <w:left w:val="none" w:sz="0" w:space="0" w:color="auto"/>
        <w:bottom w:val="none" w:sz="0" w:space="0" w:color="auto"/>
        <w:right w:val="none" w:sz="0" w:space="0" w:color="auto"/>
      </w:divBdr>
    </w:div>
    <w:div w:id="1727332925">
      <w:bodyDiv w:val="1"/>
      <w:marLeft w:val="0"/>
      <w:marRight w:val="0"/>
      <w:marTop w:val="0"/>
      <w:marBottom w:val="0"/>
      <w:divBdr>
        <w:top w:val="none" w:sz="0" w:space="0" w:color="auto"/>
        <w:left w:val="none" w:sz="0" w:space="0" w:color="auto"/>
        <w:bottom w:val="none" w:sz="0" w:space="0" w:color="auto"/>
        <w:right w:val="none" w:sz="0" w:space="0" w:color="auto"/>
      </w:divBdr>
    </w:div>
    <w:div w:id="1878807371">
      <w:bodyDiv w:val="1"/>
      <w:marLeft w:val="0"/>
      <w:marRight w:val="0"/>
      <w:marTop w:val="0"/>
      <w:marBottom w:val="0"/>
      <w:divBdr>
        <w:top w:val="none" w:sz="0" w:space="0" w:color="auto"/>
        <w:left w:val="none" w:sz="0" w:space="0" w:color="auto"/>
        <w:bottom w:val="none" w:sz="0" w:space="0" w:color="auto"/>
        <w:right w:val="none" w:sz="0" w:space="0" w:color="auto"/>
      </w:divBdr>
    </w:div>
    <w:div w:id="1977686042">
      <w:bodyDiv w:val="1"/>
      <w:marLeft w:val="0"/>
      <w:marRight w:val="0"/>
      <w:marTop w:val="0"/>
      <w:marBottom w:val="0"/>
      <w:divBdr>
        <w:top w:val="none" w:sz="0" w:space="0" w:color="auto"/>
        <w:left w:val="none" w:sz="0" w:space="0" w:color="auto"/>
        <w:bottom w:val="none" w:sz="0" w:space="0" w:color="auto"/>
        <w:right w:val="none" w:sz="0" w:space="0" w:color="auto"/>
      </w:divBdr>
    </w:div>
    <w:div w:id="1985232000">
      <w:bodyDiv w:val="1"/>
      <w:marLeft w:val="0"/>
      <w:marRight w:val="0"/>
      <w:marTop w:val="0"/>
      <w:marBottom w:val="0"/>
      <w:divBdr>
        <w:top w:val="none" w:sz="0" w:space="0" w:color="auto"/>
        <w:left w:val="none" w:sz="0" w:space="0" w:color="auto"/>
        <w:bottom w:val="none" w:sz="0" w:space="0" w:color="auto"/>
        <w:right w:val="none" w:sz="0" w:space="0" w:color="auto"/>
      </w:divBdr>
    </w:div>
    <w:div w:id="2036031598">
      <w:bodyDiv w:val="1"/>
      <w:marLeft w:val="0"/>
      <w:marRight w:val="0"/>
      <w:marTop w:val="0"/>
      <w:marBottom w:val="0"/>
      <w:divBdr>
        <w:top w:val="none" w:sz="0" w:space="0" w:color="auto"/>
        <w:left w:val="none" w:sz="0" w:space="0" w:color="auto"/>
        <w:bottom w:val="none" w:sz="0" w:space="0" w:color="auto"/>
        <w:right w:val="none" w:sz="0" w:space="0" w:color="auto"/>
      </w:divBdr>
    </w:div>
    <w:div w:id="2062897404">
      <w:bodyDiv w:val="1"/>
      <w:marLeft w:val="0"/>
      <w:marRight w:val="0"/>
      <w:marTop w:val="0"/>
      <w:marBottom w:val="0"/>
      <w:divBdr>
        <w:top w:val="none" w:sz="0" w:space="0" w:color="auto"/>
        <w:left w:val="none" w:sz="0" w:space="0" w:color="auto"/>
        <w:bottom w:val="none" w:sz="0" w:space="0" w:color="auto"/>
        <w:right w:val="none" w:sz="0" w:space="0" w:color="auto"/>
      </w:divBdr>
    </w:div>
    <w:div w:id="2087917024">
      <w:bodyDiv w:val="1"/>
      <w:marLeft w:val="0"/>
      <w:marRight w:val="0"/>
      <w:marTop w:val="0"/>
      <w:marBottom w:val="0"/>
      <w:divBdr>
        <w:top w:val="none" w:sz="0" w:space="0" w:color="auto"/>
        <w:left w:val="none" w:sz="0" w:space="0" w:color="auto"/>
        <w:bottom w:val="none" w:sz="0" w:space="0" w:color="auto"/>
        <w:right w:val="none" w:sz="0" w:space="0" w:color="auto"/>
      </w:divBdr>
    </w:div>
    <w:div w:id="213709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image" Target="media/image15.emf"/><Relationship Id="rId39" Type="http://schemas.openxmlformats.org/officeDocument/2006/relationships/fontTable" Target="fontTable.xml"/><Relationship Id="rId21" Type="http://schemas.openxmlformats.org/officeDocument/2006/relationships/image" Target="media/image10.emf"/><Relationship Id="rId34" Type="http://schemas.openxmlformats.org/officeDocument/2006/relationships/image" Target="media/image22.png"/><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6.emf"/><Relationship Id="rId25" Type="http://schemas.openxmlformats.org/officeDocument/2006/relationships/image" Target="media/image14.emf"/><Relationship Id="rId33" Type="http://schemas.openxmlformats.org/officeDocument/2006/relationships/image" Target="media/image21.emf"/><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emf"/><Relationship Id="rId29" Type="http://schemas.openxmlformats.org/officeDocument/2006/relationships/hyperlink" Target="http://www.legislation.gov.uk/ukpga/2003/26/conten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3.emf"/><Relationship Id="rId32" Type="http://schemas.openxmlformats.org/officeDocument/2006/relationships/image" Target="media/image20.emf"/><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emf"/><Relationship Id="rId23" Type="http://schemas.openxmlformats.org/officeDocument/2006/relationships/image" Target="media/image12.emf"/><Relationship Id="rId28" Type="http://schemas.openxmlformats.org/officeDocument/2006/relationships/image" Target="media/image17.emf"/><Relationship Id="rId36"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image" Target="media/image8.emf"/><Relationship Id="rId31" Type="http://schemas.openxmlformats.org/officeDocument/2006/relationships/image" Target="media/image19.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image" Target="media/image11.emf"/><Relationship Id="rId27" Type="http://schemas.openxmlformats.org/officeDocument/2006/relationships/image" Target="media/image16.emf"/><Relationship Id="rId30" Type="http://schemas.openxmlformats.org/officeDocument/2006/relationships/image" Target="media/image18.emf"/><Relationship Id="rId35" Type="http://schemas.openxmlformats.org/officeDocument/2006/relationships/image" Target="media/image23.png"/><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61656D7C1F0F24B9A4111951FA94E15" ma:contentTypeVersion="4" ma:contentTypeDescription="Create a new document." ma:contentTypeScope="" ma:versionID="b688c623b2afe49189bd0bb0f66fcabf">
  <xsd:schema xmlns:xsd="http://www.w3.org/2001/XMLSchema" xmlns:xs="http://www.w3.org/2001/XMLSchema" xmlns:p="http://schemas.microsoft.com/office/2006/metadata/properties" xmlns:ns2="48fdd5af-7127-4349-9ef8-8ec3aedfe79a" targetNamespace="http://schemas.microsoft.com/office/2006/metadata/properties" ma:root="true" ma:fieldsID="c5c866ef61867eeb83eec35f93f8ccb8" ns2:_="">
    <xsd:import namespace="48fdd5af-7127-4349-9ef8-8ec3aedfe7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dd5af-7127-4349-9ef8-8ec3aedfe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9BDD45-1CD4-4961-A8C2-64DF469425CD}">
  <ds:schemaRefs>
    <ds:schemaRef ds:uri="http://schemas.openxmlformats.org/officeDocument/2006/bibliography"/>
  </ds:schemaRefs>
</ds:datastoreItem>
</file>

<file path=customXml/itemProps2.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3.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4.xml><?xml version="1.0" encoding="utf-8"?>
<ds:datastoreItem xmlns:ds="http://schemas.openxmlformats.org/officeDocument/2006/customXml" ds:itemID="{2C7FC10E-8474-4047-9AEB-2F986650E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dd5af-7127-4349-9ef8-8ec3aedfe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62</Pages>
  <Words>20109</Words>
  <Characters>110877</Characters>
  <Application>Microsoft Office Word</Application>
  <DocSecurity>0</DocSecurity>
  <Lines>923</Lines>
  <Paragraphs>261</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130725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Andrew Seaman5</cp:lastModifiedBy>
  <cp:revision>8</cp:revision>
  <cp:lastPrinted>2014-10-31T16:34:00Z</cp:lastPrinted>
  <dcterms:created xsi:type="dcterms:W3CDTF">2024-02-07T12:20:00Z</dcterms:created>
  <dcterms:modified xsi:type="dcterms:W3CDTF">2024-02-07T14:34:00Z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0x010100061656D7C1F0F24B9A4111951FA94E15</vt:lpwstr>
  </property>
  <property fmtid="{D5CDD505-2E9C-101B-9397-08002B2CF9AE}" pid="3" name="TaxKeyword">
    <vt:lpwstr>108;#Cabinet Report Template|b79b58f4-03f4-47dd-bec7-7bae4bc4af23</vt:lpwstr>
  </property>
</Properties>
</file>